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9B" w:rsidRDefault="00B9739B">
      <w:pPr>
        <w:pStyle w:val="1"/>
        <w:widowControl/>
        <w:spacing w:beforeAutospacing="0" w:afterAutospacing="0" w:line="360" w:lineRule="auto"/>
        <w:ind w:firstLineChars="200" w:firstLine="883"/>
        <w:jc w:val="both"/>
        <w:rPr>
          <w:rFonts w:ascii="Times New Roman" w:eastAsia="黑体" w:hAnsi="Times New Roman" w:cs="Times New Roman" w:hint="default"/>
          <w:bCs/>
          <w:kern w:val="0"/>
          <w:sz w:val="44"/>
          <w:szCs w:val="44"/>
        </w:rPr>
      </w:pPr>
    </w:p>
    <w:p w:rsidR="00B9739B" w:rsidRDefault="00B9739B">
      <w:pPr>
        <w:pStyle w:val="1"/>
        <w:widowControl/>
        <w:spacing w:beforeAutospacing="0" w:afterAutospacing="0" w:line="360" w:lineRule="auto"/>
        <w:ind w:firstLineChars="200" w:firstLine="883"/>
        <w:jc w:val="both"/>
        <w:rPr>
          <w:rFonts w:ascii="Times New Roman" w:eastAsia="黑体" w:hAnsi="Times New Roman" w:cs="Times New Roman" w:hint="default"/>
          <w:bCs/>
          <w:kern w:val="0"/>
          <w:sz w:val="44"/>
          <w:szCs w:val="44"/>
        </w:rPr>
      </w:pPr>
    </w:p>
    <w:p w:rsidR="00B9739B" w:rsidRDefault="00B9739B">
      <w:pPr>
        <w:pStyle w:val="1"/>
        <w:widowControl/>
        <w:spacing w:beforeAutospacing="0" w:afterAutospacing="0" w:line="360" w:lineRule="auto"/>
        <w:ind w:firstLineChars="200" w:firstLine="883"/>
        <w:jc w:val="both"/>
        <w:rPr>
          <w:rFonts w:ascii="Times New Roman" w:eastAsia="黑体" w:hAnsi="Times New Roman" w:cs="Times New Roman" w:hint="default"/>
          <w:bCs/>
          <w:kern w:val="0"/>
          <w:sz w:val="44"/>
          <w:szCs w:val="44"/>
        </w:rPr>
      </w:pPr>
    </w:p>
    <w:p w:rsidR="00B9739B" w:rsidRDefault="00B9739B"/>
    <w:p w:rsidR="00B9739B" w:rsidRDefault="00B24D01">
      <w:pPr>
        <w:pStyle w:val="1"/>
        <w:widowControl/>
        <w:spacing w:beforeAutospacing="0" w:afterAutospacing="0" w:line="480" w:lineRule="auto"/>
        <w:jc w:val="center"/>
        <w:rPr>
          <w:rFonts w:ascii="Times New Roman" w:hAnsi="Times New Roman" w:cs="Times New Roman" w:hint="default"/>
          <w:bCs/>
          <w:kern w:val="0"/>
          <w:sz w:val="72"/>
          <w:szCs w:val="72"/>
        </w:rPr>
      </w:pPr>
      <w:bookmarkStart w:id="0" w:name="_Toc12246"/>
      <w:bookmarkStart w:id="1" w:name="_Toc19850"/>
      <w:bookmarkStart w:id="2" w:name="_Toc16653"/>
      <w:bookmarkStart w:id="3" w:name="_Toc28246"/>
      <w:bookmarkStart w:id="4" w:name="_Toc31691"/>
      <w:bookmarkStart w:id="5" w:name="_Toc2556"/>
      <w:bookmarkStart w:id="6" w:name="_Toc7925"/>
      <w:bookmarkStart w:id="7" w:name="_Toc26332"/>
      <w:bookmarkStart w:id="8" w:name="_Toc18350"/>
      <w:bookmarkStart w:id="9" w:name="_Toc14696"/>
      <w:bookmarkStart w:id="10" w:name="_Toc15853"/>
      <w:bookmarkStart w:id="11" w:name="_Toc8935"/>
      <w:r>
        <w:rPr>
          <w:rFonts w:ascii="Times New Roman" w:hAnsi="Times New Roman" w:cs="Times New Roman" w:hint="default"/>
          <w:bCs/>
          <w:kern w:val="0"/>
          <w:sz w:val="72"/>
          <w:szCs w:val="72"/>
        </w:rPr>
        <w:t>抚松县生态产业发展规划</w:t>
      </w:r>
      <w:bookmarkEnd w:id="0"/>
      <w:bookmarkEnd w:id="1"/>
      <w:bookmarkEnd w:id="2"/>
      <w:bookmarkEnd w:id="3"/>
      <w:bookmarkEnd w:id="4"/>
      <w:bookmarkEnd w:id="5"/>
      <w:bookmarkEnd w:id="6"/>
      <w:bookmarkEnd w:id="7"/>
      <w:bookmarkEnd w:id="8"/>
      <w:bookmarkEnd w:id="9"/>
      <w:bookmarkEnd w:id="10"/>
      <w:bookmarkEnd w:id="11"/>
    </w:p>
    <w:p w:rsidR="00B9739B" w:rsidRDefault="00B24D01">
      <w:pPr>
        <w:pStyle w:val="1"/>
        <w:widowControl/>
        <w:spacing w:beforeAutospacing="0" w:afterAutospacing="0" w:line="480" w:lineRule="auto"/>
        <w:jc w:val="center"/>
        <w:rPr>
          <w:rFonts w:ascii="Times New Roman" w:eastAsia="黑体" w:hAnsi="Times New Roman" w:cs="Times New Roman" w:hint="default"/>
          <w:bCs/>
          <w:kern w:val="0"/>
          <w:sz w:val="72"/>
          <w:szCs w:val="72"/>
        </w:rPr>
      </w:pPr>
      <w:bookmarkStart w:id="12" w:name="_Toc3447"/>
      <w:bookmarkStart w:id="13" w:name="_Toc11796"/>
      <w:bookmarkStart w:id="14" w:name="_Toc30589"/>
      <w:bookmarkStart w:id="15" w:name="_Toc22365"/>
      <w:bookmarkStart w:id="16" w:name="_Toc3431"/>
      <w:bookmarkStart w:id="17" w:name="_Toc3287"/>
      <w:bookmarkStart w:id="18" w:name="_Toc27939"/>
      <w:bookmarkStart w:id="19" w:name="_Toc28147"/>
      <w:bookmarkStart w:id="20" w:name="_Toc11141"/>
      <w:bookmarkStart w:id="21" w:name="_Toc1259"/>
      <w:bookmarkStart w:id="22" w:name="_Toc19163"/>
      <w:bookmarkStart w:id="23" w:name="_Toc27322"/>
      <w:r>
        <w:rPr>
          <w:rFonts w:ascii="Times New Roman" w:hAnsi="Times New Roman" w:cs="Times New Roman" w:hint="default"/>
          <w:bCs/>
          <w:kern w:val="0"/>
          <w:sz w:val="72"/>
          <w:szCs w:val="72"/>
        </w:rPr>
        <w:t>（</w:t>
      </w:r>
      <w:r>
        <w:rPr>
          <w:rFonts w:ascii="Times New Roman" w:hAnsi="Times New Roman" w:cs="Times New Roman" w:hint="default"/>
          <w:bCs/>
          <w:kern w:val="0"/>
          <w:sz w:val="72"/>
          <w:szCs w:val="72"/>
        </w:rPr>
        <w:t>2023</w:t>
      </w:r>
      <w:r>
        <w:rPr>
          <w:rFonts w:ascii="Times New Roman" w:hAnsi="Times New Roman" w:cs="Times New Roman" w:hint="default"/>
          <w:bCs/>
          <w:kern w:val="0"/>
          <w:sz w:val="72"/>
          <w:szCs w:val="72"/>
        </w:rPr>
        <w:t>年</w:t>
      </w:r>
      <w:r>
        <w:rPr>
          <w:rFonts w:ascii="Times New Roman" w:hAnsi="Times New Roman" w:cs="Times New Roman" w:hint="default"/>
          <w:bCs/>
          <w:kern w:val="0"/>
          <w:sz w:val="72"/>
          <w:szCs w:val="72"/>
        </w:rPr>
        <w:t>-2030</w:t>
      </w:r>
      <w:r>
        <w:rPr>
          <w:rFonts w:ascii="Times New Roman" w:hAnsi="Times New Roman" w:cs="Times New Roman" w:hint="default"/>
          <w:bCs/>
          <w:kern w:val="0"/>
          <w:sz w:val="72"/>
          <w:szCs w:val="72"/>
        </w:rPr>
        <w:t>年）</w:t>
      </w:r>
      <w:bookmarkEnd w:id="12"/>
      <w:bookmarkEnd w:id="13"/>
      <w:bookmarkEnd w:id="14"/>
      <w:bookmarkEnd w:id="15"/>
      <w:bookmarkEnd w:id="16"/>
      <w:bookmarkEnd w:id="17"/>
      <w:bookmarkEnd w:id="18"/>
      <w:bookmarkEnd w:id="19"/>
      <w:bookmarkEnd w:id="20"/>
      <w:bookmarkEnd w:id="21"/>
      <w:bookmarkEnd w:id="22"/>
      <w:bookmarkEnd w:id="23"/>
    </w:p>
    <w:p w:rsidR="00B9739B" w:rsidRDefault="00B9739B">
      <w:pPr>
        <w:rPr>
          <w:rFonts w:ascii="Times New Roman" w:hAnsi="Times New Roman" w:cs="Times New Roman"/>
        </w:rPr>
      </w:pPr>
    </w:p>
    <w:p w:rsidR="00B9739B" w:rsidRDefault="00B9739B">
      <w:pPr>
        <w:pStyle w:val="3"/>
        <w:rPr>
          <w:rFonts w:ascii="Times New Roman" w:hAnsi="Times New Roman" w:cs="Times New Roman"/>
        </w:rPr>
      </w:pPr>
    </w:p>
    <w:p w:rsidR="00B9739B" w:rsidRDefault="00B9739B">
      <w:pPr>
        <w:rPr>
          <w:rFonts w:ascii="Times New Roman" w:hAnsi="Times New Roman" w:cs="Times New Roman"/>
        </w:rPr>
      </w:pPr>
    </w:p>
    <w:p w:rsidR="00B9739B" w:rsidRDefault="00B9739B">
      <w:pPr>
        <w:rPr>
          <w:rFonts w:ascii="Times New Roman" w:hAnsi="Times New Roman" w:cs="Times New Roman"/>
        </w:rPr>
      </w:pPr>
    </w:p>
    <w:p w:rsidR="00B9739B" w:rsidRDefault="00B9739B">
      <w:pPr>
        <w:pStyle w:val="3"/>
        <w:rPr>
          <w:rFonts w:ascii="Times New Roman" w:hAnsi="Times New Roman" w:cs="Times New Roman"/>
        </w:rPr>
      </w:pPr>
    </w:p>
    <w:p w:rsidR="00B9739B" w:rsidRDefault="00B9739B">
      <w:pPr>
        <w:rPr>
          <w:rFonts w:ascii="Times New Roman" w:hAnsi="Times New Roman" w:cs="Times New Roman"/>
        </w:rPr>
      </w:pPr>
    </w:p>
    <w:p w:rsidR="00B9739B" w:rsidRDefault="00B9739B">
      <w:pPr>
        <w:pStyle w:val="3"/>
        <w:rPr>
          <w:rFonts w:ascii="Times New Roman" w:hAnsi="Times New Roman" w:cs="Times New Roman"/>
        </w:rPr>
      </w:pPr>
    </w:p>
    <w:p w:rsidR="00B9739B" w:rsidRDefault="00B9739B">
      <w:pPr>
        <w:rPr>
          <w:rFonts w:ascii="Times New Roman" w:hAnsi="Times New Roman" w:cs="Times New Roman"/>
        </w:rPr>
      </w:pPr>
    </w:p>
    <w:p w:rsidR="00B9739B" w:rsidRDefault="00B9739B">
      <w:pPr>
        <w:pStyle w:val="3"/>
        <w:rPr>
          <w:rFonts w:ascii="Times New Roman" w:hAnsi="Times New Roman" w:cs="Times New Roman"/>
        </w:rPr>
      </w:pPr>
    </w:p>
    <w:p w:rsidR="00B9739B" w:rsidRDefault="00B9739B">
      <w:pPr>
        <w:pStyle w:val="3"/>
        <w:jc w:val="center"/>
        <w:rPr>
          <w:rFonts w:ascii="Times New Roman" w:hAnsi="Times New Roman" w:cs="Times New Roman"/>
          <w:sz w:val="44"/>
          <w:szCs w:val="44"/>
        </w:rPr>
      </w:pPr>
      <w:bookmarkStart w:id="24" w:name="_Toc16876"/>
      <w:bookmarkStart w:id="25" w:name="_Toc4198"/>
      <w:bookmarkStart w:id="26" w:name="_Toc5797"/>
      <w:bookmarkStart w:id="27" w:name="_Toc7249"/>
      <w:bookmarkStart w:id="28" w:name="_Toc15888"/>
      <w:bookmarkStart w:id="29" w:name="_Toc10546"/>
    </w:p>
    <w:p w:rsidR="00B9739B" w:rsidRDefault="00B24D01">
      <w:pPr>
        <w:pStyle w:val="3"/>
        <w:jc w:val="center"/>
        <w:rPr>
          <w:rFonts w:ascii="Times New Roman" w:hAnsi="Times New Roman" w:cs="Times New Roman"/>
          <w:sz w:val="36"/>
          <w:szCs w:val="36"/>
        </w:rPr>
      </w:pPr>
      <w:bookmarkStart w:id="30" w:name="_Toc9377"/>
      <w:bookmarkStart w:id="31" w:name="_Toc21493"/>
      <w:bookmarkStart w:id="32" w:name="_Toc26842"/>
      <w:bookmarkStart w:id="33" w:name="_Toc31919"/>
      <w:bookmarkStart w:id="34" w:name="_Toc12800"/>
      <w:bookmarkStart w:id="35" w:name="_Toc28144"/>
      <w:r>
        <w:rPr>
          <w:rFonts w:ascii="Times New Roman" w:hAnsi="Times New Roman" w:cs="Times New Roman"/>
          <w:sz w:val="36"/>
          <w:szCs w:val="36"/>
        </w:rPr>
        <w:t>抚松县</w:t>
      </w:r>
      <w:bookmarkEnd w:id="24"/>
      <w:bookmarkEnd w:id="25"/>
      <w:bookmarkEnd w:id="30"/>
      <w:bookmarkEnd w:id="31"/>
      <w:bookmarkEnd w:id="32"/>
      <w:bookmarkEnd w:id="33"/>
      <w:bookmarkEnd w:id="34"/>
      <w:bookmarkEnd w:id="35"/>
      <w:r>
        <w:rPr>
          <w:rFonts w:ascii="Times New Roman" w:hAnsi="Times New Roman" w:cs="Times New Roman" w:hint="eastAsia"/>
          <w:sz w:val="36"/>
          <w:szCs w:val="36"/>
        </w:rPr>
        <w:t>人民政府</w:t>
      </w:r>
    </w:p>
    <w:p w:rsidR="00B9739B" w:rsidRDefault="00B24D01">
      <w:pPr>
        <w:pStyle w:val="3"/>
        <w:jc w:val="center"/>
        <w:rPr>
          <w:rFonts w:ascii="Times New Roman" w:eastAsia="黑体" w:hAnsi="Times New Roman" w:cs="Times New Roman"/>
          <w:sz w:val="44"/>
          <w:szCs w:val="44"/>
        </w:rPr>
      </w:pPr>
      <w:bookmarkStart w:id="36" w:name="_Toc16316"/>
      <w:bookmarkStart w:id="37" w:name="_Toc20805"/>
      <w:bookmarkStart w:id="38" w:name="_Toc9887"/>
      <w:bookmarkStart w:id="39" w:name="_Toc20177"/>
      <w:bookmarkStart w:id="40" w:name="_Toc16180"/>
      <w:bookmarkStart w:id="41" w:name="_Toc26093"/>
      <w:bookmarkStart w:id="42" w:name="_Toc3151"/>
      <w:bookmarkStart w:id="43" w:name="_Toc13101"/>
      <w:r>
        <w:rPr>
          <w:rFonts w:ascii="Times New Roman" w:hAnsi="Times New Roman" w:cs="Times New Roman"/>
          <w:sz w:val="36"/>
          <w:szCs w:val="36"/>
        </w:rPr>
        <w:t>二〇二三年七月</w:t>
      </w:r>
      <w:bookmarkEnd w:id="26"/>
      <w:bookmarkEnd w:id="27"/>
      <w:bookmarkEnd w:id="28"/>
      <w:bookmarkEnd w:id="29"/>
      <w:bookmarkEnd w:id="36"/>
      <w:bookmarkEnd w:id="37"/>
      <w:bookmarkEnd w:id="38"/>
      <w:bookmarkEnd w:id="39"/>
      <w:bookmarkEnd w:id="40"/>
      <w:bookmarkEnd w:id="41"/>
      <w:bookmarkEnd w:id="42"/>
      <w:bookmarkEnd w:id="43"/>
    </w:p>
    <w:p w:rsidR="00B9739B" w:rsidRDefault="00B24D01">
      <w:pPr>
        <w:rPr>
          <w:rFonts w:ascii="Times New Roman" w:hAnsi="Times New Roman" w:cs="Times New Roman"/>
          <w:b/>
          <w:bCs/>
          <w:kern w:val="0"/>
          <w:sz w:val="48"/>
          <w:szCs w:val="48"/>
        </w:rPr>
      </w:pPr>
      <w:bookmarkStart w:id="44" w:name="_GoBack"/>
      <w:bookmarkEnd w:id="44"/>
      <w:r>
        <w:br w:type="page"/>
      </w:r>
      <w:r>
        <w:rPr>
          <w:rFonts w:ascii="Times New Roman" w:hAnsi="Times New Roman" w:cs="Times New Roman"/>
          <w:b/>
          <w:bCs/>
          <w:kern w:val="0"/>
          <w:sz w:val="48"/>
          <w:szCs w:val="48"/>
        </w:rPr>
        <w:lastRenderedPageBreak/>
        <w:t>目</w:t>
      </w:r>
      <w:r>
        <w:rPr>
          <w:rFonts w:ascii="Times New Roman" w:hAnsi="Times New Roman" w:cs="Times New Roman"/>
          <w:b/>
          <w:bCs/>
          <w:kern w:val="0"/>
          <w:sz w:val="48"/>
          <w:szCs w:val="48"/>
        </w:rPr>
        <w:t xml:space="preserve">  </w:t>
      </w:r>
      <w:r>
        <w:rPr>
          <w:rFonts w:ascii="Times New Roman" w:hAnsi="Times New Roman" w:cs="Times New Roman"/>
          <w:b/>
          <w:bCs/>
          <w:kern w:val="0"/>
          <w:sz w:val="48"/>
          <w:szCs w:val="48"/>
        </w:rPr>
        <w:t>录</w:t>
      </w:r>
    </w:p>
    <w:p w:rsidR="00B9739B" w:rsidRDefault="000A049F">
      <w:pPr>
        <w:pStyle w:val="30"/>
        <w:tabs>
          <w:tab w:val="right" w:leader="dot" w:pos="8306"/>
        </w:tabs>
        <w:rPr>
          <w:rFonts w:ascii="Times New Roman" w:hAnsi="Times New Roman" w:cs="Times New Roman"/>
        </w:rPr>
      </w:pPr>
      <w:r w:rsidRPr="000A049F">
        <w:rPr>
          <w:rFonts w:ascii="Times New Roman" w:eastAsia="仿宋_GB2312" w:hAnsi="Times New Roman" w:cs="Times New Roman"/>
          <w:b/>
          <w:bCs/>
          <w:sz w:val="32"/>
          <w:szCs w:val="32"/>
          <w:shd w:val="clear" w:color="090000" w:fill="FFFFFF"/>
        </w:rPr>
        <w:fldChar w:fldCharType="begin"/>
      </w:r>
      <w:r w:rsidR="00B24D01">
        <w:rPr>
          <w:rFonts w:ascii="Times New Roman" w:eastAsia="仿宋_GB2312" w:hAnsi="Times New Roman" w:cs="Times New Roman"/>
          <w:b/>
          <w:bCs/>
          <w:sz w:val="32"/>
          <w:szCs w:val="32"/>
          <w:shd w:val="clear" w:color="090000" w:fill="FFFFFF"/>
        </w:rPr>
        <w:instrText xml:space="preserve">TOC \o "1-3" \h \u </w:instrText>
      </w:r>
      <w:r w:rsidRPr="000A049F">
        <w:rPr>
          <w:rFonts w:ascii="Times New Roman" w:eastAsia="仿宋_GB2312" w:hAnsi="Times New Roman" w:cs="Times New Roman"/>
          <w:b/>
          <w:bCs/>
          <w:sz w:val="32"/>
          <w:szCs w:val="32"/>
          <w:shd w:val="clear" w:color="090000" w:fill="FFFFFF"/>
        </w:rPr>
        <w:fldChar w:fldCharType="separate"/>
      </w:r>
    </w:p>
    <w:p w:rsidR="00B9739B" w:rsidRDefault="000A049F">
      <w:pPr>
        <w:pStyle w:val="10"/>
        <w:tabs>
          <w:tab w:val="right" w:leader="dot" w:pos="8306"/>
        </w:tabs>
        <w:rPr>
          <w:rFonts w:ascii="Times New Roman" w:eastAsia="仿宋_GB2312" w:hAnsi="Times New Roman" w:cs="Times New Roman"/>
          <w:sz w:val="32"/>
          <w:szCs w:val="32"/>
        </w:rPr>
      </w:pPr>
      <w:hyperlink w:anchor="_Toc19375" w:history="1">
        <w:r w:rsidR="00B24D01">
          <w:rPr>
            <w:rFonts w:ascii="Times New Roman" w:eastAsia="仿宋_GB2312" w:hAnsi="Times New Roman" w:cs="Times New Roman"/>
            <w:bCs/>
            <w:sz w:val="32"/>
            <w:szCs w:val="32"/>
          </w:rPr>
          <w:t>前言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_Toc19375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32343" w:history="1">
        <w:r w:rsidR="00B24D01">
          <w:rPr>
            <w:rFonts w:ascii="Times New Roman" w:eastAsia="仿宋_GB2312" w:hAnsi="Times New Roman" w:cs="Times New Roman"/>
            <w:bCs/>
            <w:sz w:val="32"/>
            <w:szCs w:val="32"/>
          </w:rPr>
          <w:t>第一章规划背景</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_Toc32343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6649" w:history="1">
        <w:r w:rsidR="00B24D01">
          <w:rPr>
            <w:rFonts w:ascii="Times New Roman" w:eastAsia="仿宋_GB2312" w:hAnsi="Times New Roman" w:cs="Times New Roman"/>
            <w:sz w:val="32"/>
            <w:szCs w:val="32"/>
          </w:rPr>
          <w:t>第一节发展基础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_Toc16649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3682"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问题与挑战</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_Toc3682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8</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3751"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发展战略</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_Toc13751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5227" w:history="1">
        <w:r w:rsidR="00B24D01">
          <w:rPr>
            <w:rFonts w:ascii="Times New Roman" w:eastAsia="仿宋_GB2312" w:hAnsi="Times New Roman" w:cs="Times New Roman"/>
            <w:bCs/>
            <w:sz w:val="32"/>
            <w:szCs w:val="32"/>
          </w:rPr>
          <w:t>第二章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总体要求</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_Toc25227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6586"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指导思想</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_Toc16586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0553"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基本原则</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_Toc20553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2979"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发展定位</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_Toc22979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2642" w:history="1">
        <w:r w:rsidR="00B24D01">
          <w:rPr>
            <w:rFonts w:ascii="Times New Roman" w:eastAsia="仿宋_GB2312" w:hAnsi="Times New Roman" w:cs="Times New Roman"/>
            <w:sz w:val="32"/>
            <w:szCs w:val="32"/>
          </w:rPr>
          <w:t>第四节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发展目标</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_Toc12642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14990" w:history="1">
        <w:r w:rsidR="00B24D01">
          <w:rPr>
            <w:rFonts w:ascii="Times New Roman" w:eastAsia="仿宋_GB2312" w:hAnsi="Times New Roman" w:cs="Times New Roman"/>
            <w:bCs/>
            <w:sz w:val="32"/>
            <w:szCs w:val="32"/>
          </w:rPr>
          <w:t>第三章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发展布局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_Toc14990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7234"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分区布局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_Toc27234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8062"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产业布局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_Toc18062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7920"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生态布局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_Toc17920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18170" w:history="1">
        <w:r w:rsidR="00B24D01">
          <w:rPr>
            <w:rFonts w:ascii="Times New Roman" w:eastAsia="仿宋_GB2312" w:hAnsi="Times New Roman" w:cs="Times New Roman"/>
            <w:bCs/>
            <w:sz w:val="32"/>
            <w:szCs w:val="32"/>
          </w:rPr>
          <w:t>第四章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加强生态环境保护与建设</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_Toc18170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1643"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加强森林生态系统保护</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_Toc21643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3854"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稳固提升水源涵养功能</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_Toc3854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27</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4286"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强化自然保护地建设</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_Toc14286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28</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8388" w:history="1">
        <w:r w:rsidR="00B24D01">
          <w:rPr>
            <w:rFonts w:ascii="Times New Roman" w:eastAsia="仿宋_GB2312" w:hAnsi="Times New Roman" w:cs="Times New Roman"/>
            <w:bCs/>
            <w:sz w:val="32"/>
            <w:szCs w:val="32"/>
          </w:rPr>
          <w:t>第五章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加快绿色生态产业发展进程</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_Toc28388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8192"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壮大矿泉饮品产业，打造世界矿泉水名城</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_Toc18192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0975"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利用区位及资源优势，发展壮大</w:t>
        </w:r>
        <w:r w:rsidR="00B24D01">
          <w:rPr>
            <w:rFonts w:ascii="Times New Roman" w:eastAsia="仿宋_GB2312" w:hAnsi="Times New Roman" w:cs="Times New Roman"/>
            <w:sz w:val="32"/>
            <w:szCs w:val="32"/>
          </w:rPr>
          <w:t>“</w:t>
        </w:r>
        <w:r w:rsidR="00B24D01">
          <w:rPr>
            <w:rFonts w:ascii="Times New Roman" w:eastAsia="仿宋_GB2312" w:hAnsi="Times New Roman" w:cs="Times New Roman"/>
            <w:sz w:val="32"/>
            <w:szCs w:val="32"/>
          </w:rPr>
          <w:t>三个经济</w:t>
        </w:r>
        <w:r w:rsidR="00B24D01">
          <w:rPr>
            <w:rFonts w:ascii="Times New Roman" w:eastAsia="仿宋_GB2312" w:hAnsi="Times New Roman" w:cs="Times New Roman"/>
            <w:sz w:val="32"/>
            <w:szCs w:val="32"/>
          </w:rPr>
          <w:t>”</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_Toc20975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33</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5149"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积极发展人参产业，打造世界人参名城</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_Toc5149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3689" w:history="1">
        <w:r w:rsidR="00B24D01">
          <w:rPr>
            <w:rFonts w:ascii="Times New Roman" w:eastAsia="仿宋_GB2312" w:hAnsi="Times New Roman" w:cs="Times New Roman"/>
            <w:sz w:val="32"/>
            <w:szCs w:val="32"/>
          </w:rPr>
          <w:t>第四节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大力开发旅游经济带，打造国际旅游名城</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_Toc3689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4946" w:history="1">
        <w:r w:rsidR="00B24D01">
          <w:rPr>
            <w:rFonts w:ascii="Times New Roman" w:eastAsia="仿宋_GB2312" w:hAnsi="Times New Roman" w:cs="Times New Roman"/>
            <w:sz w:val="32"/>
            <w:szCs w:val="32"/>
          </w:rPr>
          <w:t>第五节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加快发展医药产业，打造世界中医药材之都</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_Toc24946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1823" w:history="1">
        <w:r w:rsidR="00B24D01">
          <w:rPr>
            <w:rFonts w:ascii="Times New Roman" w:eastAsia="仿宋_GB2312" w:hAnsi="Times New Roman" w:cs="Times New Roman"/>
            <w:bCs/>
            <w:sz w:val="32"/>
            <w:szCs w:val="32"/>
          </w:rPr>
          <w:t>第六章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夯实生态产业发展服务基础</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_Toc21823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3308"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推进消费产业升级，增加供给提质增效</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_Toc23308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8217"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发挥立体交通优势，发展现代物流产业</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_Toc28217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1879"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创新金融服务模式，促进生态产业发展</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_Toc11879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667" w:history="1">
        <w:r w:rsidR="00B24D01">
          <w:rPr>
            <w:rFonts w:ascii="Times New Roman" w:eastAsia="仿宋_GB2312" w:hAnsi="Times New Roman" w:cs="Times New Roman"/>
            <w:sz w:val="32"/>
            <w:szCs w:val="32"/>
          </w:rPr>
          <w:t>第四节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培育孵化电子商贸，提升商贸服务水平</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_Toc2667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17323" w:history="1">
        <w:r w:rsidR="00B24D01">
          <w:rPr>
            <w:rFonts w:ascii="Times New Roman" w:eastAsia="仿宋_GB2312" w:hAnsi="Times New Roman" w:cs="Times New Roman"/>
            <w:bCs/>
            <w:sz w:val="32"/>
            <w:szCs w:val="32"/>
          </w:rPr>
          <w:t>第七章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提升生态经济发展环境质量</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_Toc17323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50</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846"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创建</w:t>
        </w:r>
        <w:r w:rsidR="00B24D01">
          <w:rPr>
            <w:rFonts w:ascii="Times New Roman" w:eastAsia="仿宋_GB2312" w:hAnsi="Times New Roman" w:cs="Times New Roman"/>
            <w:sz w:val="32"/>
            <w:szCs w:val="32"/>
          </w:rPr>
          <w:t>“</w:t>
        </w:r>
        <w:r w:rsidR="00B24D01">
          <w:rPr>
            <w:rFonts w:ascii="Times New Roman" w:eastAsia="仿宋_GB2312" w:hAnsi="Times New Roman" w:cs="Times New Roman"/>
            <w:sz w:val="32"/>
            <w:szCs w:val="32"/>
          </w:rPr>
          <w:t>洁净抚松</w:t>
        </w:r>
        <w:r w:rsidR="00B24D01">
          <w:rPr>
            <w:rFonts w:ascii="Times New Roman" w:eastAsia="仿宋_GB2312" w:hAnsi="Times New Roman" w:cs="Times New Roman"/>
            <w:sz w:val="32"/>
            <w:szCs w:val="32"/>
          </w:rPr>
          <w:t>”</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_Toc1846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50</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0529"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推动</w:t>
        </w:r>
        <w:r w:rsidR="00B24D01">
          <w:rPr>
            <w:rFonts w:ascii="Times New Roman" w:eastAsia="仿宋_GB2312" w:hAnsi="Times New Roman" w:cs="Times New Roman"/>
            <w:sz w:val="32"/>
            <w:szCs w:val="32"/>
          </w:rPr>
          <w:t>“</w:t>
        </w:r>
        <w:r w:rsidR="00B24D01">
          <w:rPr>
            <w:rFonts w:ascii="Times New Roman" w:eastAsia="仿宋_GB2312" w:hAnsi="Times New Roman" w:cs="Times New Roman"/>
            <w:sz w:val="32"/>
            <w:szCs w:val="32"/>
          </w:rPr>
          <w:t>两大经济</w:t>
        </w:r>
        <w:r w:rsidR="00B24D01">
          <w:rPr>
            <w:rFonts w:ascii="Times New Roman" w:eastAsia="仿宋_GB2312" w:hAnsi="Times New Roman" w:cs="Times New Roman"/>
            <w:sz w:val="32"/>
            <w:szCs w:val="32"/>
          </w:rPr>
          <w:t>”</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_Toc10529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52</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3690"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倡导绿色生活</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_Toc3690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53</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912" w:history="1">
        <w:r w:rsidR="00B24D01">
          <w:rPr>
            <w:rFonts w:ascii="Times New Roman" w:eastAsia="仿宋_GB2312" w:hAnsi="Times New Roman" w:cs="Times New Roman"/>
            <w:bCs/>
            <w:sz w:val="32"/>
            <w:szCs w:val="32"/>
          </w:rPr>
          <w:t>第八章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积极践行碳达峰碳中和行动</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_Toc2912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55</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9278"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强化绿色低碳发展规范引领</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_Toc9278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55</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0195"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全面实施碳达峰碳中和行动</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_Toc10195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56</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31288"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加快发展林业碳汇市场经济</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58</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1642" w:history="1">
        <w:r w:rsidR="00B24D01">
          <w:rPr>
            <w:rFonts w:ascii="Times New Roman" w:eastAsia="仿宋_GB2312" w:hAnsi="Times New Roman" w:cs="Times New Roman"/>
            <w:bCs/>
            <w:sz w:val="32"/>
            <w:szCs w:val="32"/>
          </w:rPr>
          <w:t>第九章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建立健全生态经济保障机制</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_Toc21642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61</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2084"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建立生态产品价值实现机制</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_Toc22084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61</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0338"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增强生态经济发展要素供给</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_Toc20338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63</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6022"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构建生态经济市场体系</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_Toc6022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65</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2629" w:history="1">
        <w:r w:rsidR="00B24D01">
          <w:rPr>
            <w:rFonts w:ascii="Times New Roman" w:eastAsia="仿宋_GB2312" w:hAnsi="Times New Roman" w:cs="Times New Roman"/>
            <w:sz w:val="32"/>
            <w:szCs w:val="32"/>
          </w:rPr>
          <w:t>第四节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强化生态经济科技支撑</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_Toc22629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66</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8326" w:history="1">
        <w:r w:rsidR="00B24D01">
          <w:rPr>
            <w:rFonts w:ascii="Times New Roman" w:eastAsia="仿宋_GB2312" w:hAnsi="Times New Roman" w:cs="Times New Roman"/>
            <w:bCs/>
            <w:sz w:val="32"/>
            <w:szCs w:val="32"/>
          </w:rPr>
          <w:t>第十章</w:t>
        </w:r>
        <w:r w:rsidR="00B24D01">
          <w:rPr>
            <w:rFonts w:ascii="Times New Roman" w:eastAsia="仿宋_GB2312" w:hAnsi="Times New Roman" w:cs="Times New Roman"/>
            <w:bCs/>
            <w:sz w:val="32"/>
            <w:szCs w:val="32"/>
          </w:rPr>
          <w:t xml:space="preserve">  </w:t>
        </w:r>
        <w:r w:rsidR="00B24D01">
          <w:rPr>
            <w:rFonts w:ascii="Times New Roman" w:eastAsia="仿宋_GB2312" w:hAnsi="Times New Roman" w:cs="Times New Roman"/>
            <w:bCs/>
            <w:sz w:val="32"/>
            <w:szCs w:val="32"/>
          </w:rPr>
          <w:t>保障措施</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_Toc28326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68</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9881" w:history="1">
        <w:r w:rsidR="00B24D01">
          <w:rPr>
            <w:rFonts w:ascii="Times New Roman" w:eastAsia="仿宋_GB2312" w:hAnsi="Times New Roman" w:cs="Times New Roman"/>
            <w:sz w:val="32"/>
            <w:szCs w:val="32"/>
          </w:rPr>
          <w:t>第一节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加强组织领导</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_Toc29881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68</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19888" w:history="1">
        <w:r w:rsidR="00B24D01">
          <w:rPr>
            <w:rFonts w:ascii="Times New Roman" w:eastAsia="仿宋_GB2312" w:hAnsi="Times New Roman" w:cs="Times New Roman"/>
            <w:sz w:val="32"/>
            <w:szCs w:val="32"/>
          </w:rPr>
          <w:t>第二节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精准施策力度</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_Toc19888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68</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8718" w:history="1">
        <w:r w:rsidR="00B24D01">
          <w:rPr>
            <w:rFonts w:ascii="Times New Roman" w:eastAsia="仿宋_GB2312" w:hAnsi="Times New Roman" w:cs="Times New Roman"/>
            <w:sz w:val="32"/>
            <w:szCs w:val="32"/>
          </w:rPr>
          <w:t>第三节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健全法制保障</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_Toc28718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69</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29626" w:history="1">
        <w:r w:rsidR="00B24D01">
          <w:rPr>
            <w:rFonts w:ascii="Times New Roman" w:eastAsia="仿宋_GB2312" w:hAnsi="Times New Roman" w:cs="Times New Roman"/>
            <w:sz w:val="32"/>
            <w:szCs w:val="32"/>
          </w:rPr>
          <w:t>第四节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强化监督考核</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_Toc29626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69</w:t>
        </w:r>
        <w:r>
          <w:rPr>
            <w:rFonts w:ascii="Times New Roman" w:eastAsia="仿宋_GB2312" w:hAnsi="Times New Roman" w:cs="Times New Roman"/>
            <w:sz w:val="32"/>
            <w:szCs w:val="32"/>
          </w:rPr>
          <w:fldChar w:fldCharType="end"/>
        </w:r>
      </w:hyperlink>
    </w:p>
    <w:p w:rsidR="00B9739B" w:rsidRDefault="000A049F">
      <w:pPr>
        <w:pStyle w:val="21"/>
        <w:tabs>
          <w:tab w:val="right" w:leader="dot" w:pos="8306"/>
        </w:tabs>
        <w:rPr>
          <w:rFonts w:ascii="Times New Roman" w:eastAsia="仿宋_GB2312" w:hAnsi="Times New Roman" w:cs="Times New Roman"/>
          <w:sz w:val="32"/>
          <w:szCs w:val="32"/>
        </w:rPr>
      </w:pPr>
      <w:hyperlink w:anchor="_Toc3695" w:history="1">
        <w:r w:rsidR="00B24D01">
          <w:rPr>
            <w:rFonts w:ascii="Times New Roman" w:eastAsia="仿宋_GB2312" w:hAnsi="Times New Roman" w:cs="Times New Roman"/>
            <w:sz w:val="32"/>
            <w:szCs w:val="32"/>
          </w:rPr>
          <w:t>第五节</w:t>
        </w:r>
        <w:r w:rsidR="00B24D01">
          <w:rPr>
            <w:rFonts w:ascii="Times New Roman" w:eastAsia="仿宋_GB2312" w:hAnsi="Times New Roman" w:cs="Times New Roman"/>
            <w:sz w:val="32"/>
            <w:szCs w:val="32"/>
          </w:rPr>
          <w:t xml:space="preserve">  </w:t>
        </w:r>
        <w:r w:rsidR="00B24D01">
          <w:rPr>
            <w:rFonts w:ascii="Times New Roman" w:eastAsia="仿宋_GB2312" w:hAnsi="Times New Roman" w:cs="Times New Roman"/>
            <w:sz w:val="32"/>
            <w:szCs w:val="32"/>
          </w:rPr>
          <w:t>营造良好氛围</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_Toc3695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69</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23279" w:history="1">
        <w:r w:rsidR="00B24D01">
          <w:rPr>
            <w:rFonts w:ascii="Times New Roman" w:eastAsia="仿宋_GB2312" w:hAnsi="Times New Roman" w:cs="Times New Roman"/>
            <w:sz w:val="32"/>
            <w:szCs w:val="32"/>
          </w:rPr>
          <w:t>附表</w:t>
        </w:r>
        <w:r w:rsidR="00B24D01">
          <w:rPr>
            <w:rFonts w:ascii="Times New Roman" w:eastAsia="仿宋_GB2312" w:hAnsi="Times New Roman" w:cs="Times New Roman"/>
            <w:sz w:val="32"/>
            <w:szCs w:val="32"/>
          </w:rPr>
          <w:t xml:space="preserve">1  </w:t>
        </w:r>
        <w:r w:rsidR="00B24D01">
          <w:rPr>
            <w:rFonts w:ascii="Times New Roman" w:eastAsia="仿宋_GB2312" w:hAnsi="Times New Roman" w:cs="Times New Roman"/>
            <w:sz w:val="32"/>
            <w:szCs w:val="32"/>
          </w:rPr>
          <w:t>抚松县生态产业近期重点推进项目表</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_Toc23279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70</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eastAsia="仿宋_GB2312" w:hAnsi="Times New Roman" w:cs="Times New Roman"/>
          <w:sz w:val="32"/>
          <w:szCs w:val="32"/>
        </w:rPr>
      </w:pPr>
      <w:hyperlink w:anchor="_Toc14727" w:history="1">
        <w:r w:rsidR="00B24D01">
          <w:rPr>
            <w:rFonts w:ascii="Times New Roman" w:eastAsia="仿宋_GB2312" w:hAnsi="Times New Roman" w:cs="Times New Roman"/>
            <w:sz w:val="32"/>
            <w:szCs w:val="32"/>
          </w:rPr>
          <w:t>附表</w:t>
        </w:r>
        <w:r w:rsidR="00B24D01">
          <w:rPr>
            <w:rFonts w:ascii="Times New Roman" w:eastAsia="仿宋_GB2312" w:hAnsi="Times New Roman" w:cs="Times New Roman"/>
            <w:sz w:val="32"/>
            <w:szCs w:val="32"/>
          </w:rPr>
          <w:t xml:space="preserve">2  </w:t>
        </w:r>
        <w:r w:rsidR="00B24D01">
          <w:rPr>
            <w:rFonts w:ascii="Times New Roman" w:eastAsia="仿宋_GB2312" w:hAnsi="Times New Roman" w:cs="Times New Roman"/>
            <w:sz w:val="32"/>
            <w:szCs w:val="32"/>
          </w:rPr>
          <w:t>抚松县生态产业远期重点谋划项目表</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_Toc14727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87</w:t>
        </w:r>
        <w:r>
          <w:rPr>
            <w:rFonts w:ascii="Times New Roman" w:eastAsia="仿宋_GB2312" w:hAnsi="Times New Roman" w:cs="Times New Roman"/>
            <w:sz w:val="32"/>
            <w:szCs w:val="32"/>
          </w:rPr>
          <w:fldChar w:fldCharType="end"/>
        </w:r>
      </w:hyperlink>
    </w:p>
    <w:p w:rsidR="00B9739B" w:rsidRDefault="000A049F">
      <w:pPr>
        <w:pStyle w:val="10"/>
        <w:tabs>
          <w:tab w:val="right" w:leader="dot" w:pos="8306"/>
        </w:tabs>
        <w:rPr>
          <w:rFonts w:ascii="Times New Roman" w:hAnsi="Times New Roman" w:cs="Times New Roman"/>
        </w:rPr>
      </w:pPr>
      <w:hyperlink w:anchor="_Toc17322" w:history="1">
        <w:r w:rsidR="00B24D01">
          <w:rPr>
            <w:rFonts w:ascii="Times New Roman" w:eastAsia="仿宋_GB2312" w:hAnsi="Times New Roman" w:cs="Times New Roman"/>
            <w:kern w:val="44"/>
            <w:sz w:val="32"/>
            <w:szCs w:val="32"/>
          </w:rPr>
          <w:t>附表</w:t>
        </w:r>
        <w:r w:rsidR="00B24D01">
          <w:rPr>
            <w:rFonts w:ascii="Times New Roman" w:eastAsia="仿宋_GB2312" w:hAnsi="Times New Roman" w:cs="Times New Roman"/>
            <w:kern w:val="44"/>
            <w:sz w:val="32"/>
            <w:szCs w:val="32"/>
          </w:rPr>
          <w:t xml:space="preserve">3  </w:t>
        </w:r>
        <w:r w:rsidR="00B24D01">
          <w:rPr>
            <w:rFonts w:ascii="Times New Roman" w:eastAsia="仿宋_GB2312" w:hAnsi="Times New Roman" w:cs="Times New Roman"/>
            <w:kern w:val="44"/>
            <w:sz w:val="32"/>
            <w:szCs w:val="32"/>
          </w:rPr>
          <w:t>抚松县生态产品目录清单</w:t>
        </w:r>
        <w:r w:rsidR="00B24D01">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B24D01">
          <w:rPr>
            <w:rFonts w:ascii="Times New Roman" w:eastAsia="仿宋_GB2312" w:hAnsi="Times New Roman" w:cs="Times New Roman"/>
            <w:sz w:val="32"/>
            <w:szCs w:val="32"/>
          </w:rPr>
          <w:instrText xml:space="preserve"> PAGEREF _Toc17322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B24D01">
          <w:rPr>
            <w:rFonts w:ascii="Times New Roman" w:eastAsia="仿宋_GB2312" w:hAnsi="Times New Roman" w:cs="Times New Roman"/>
            <w:sz w:val="32"/>
            <w:szCs w:val="32"/>
          </w:rPr>
          <w:t>91</w:t>
        </w:r>
        <w:r>
          <w:rPr>
            <w:rFonts w:ascii="Times New Roman" w:eastAsia="仿宋_GB2312" w:hAnsi="Times New Roman" w:cs="Times New Roman"/>
            <w:sz w:val="32"/>
            <w:szCs w:val="32"/>
          </w:rPr>
          <w:fldChar w:fldCharType="end"/>
        </w:r>
      </w:hyperlink>
    </w:p>
    <w:p w:rsidR="00B9739B" w:rsidRDefault="000A049F">
      <w:pPr>
        <w:widowControl/>
        <w:shd w:val="clear" w:color="050000" w:fill="FFFFFF"/>
        <w:tabs>
          <w:tab w:val="right" w:leader="dot" w:pos="8306"/>
        </w:tabs>
        <w:jc w:val="center"/>
        <w:rPr>
          <w:rFonts w:ascii="Times New Roman" w:eastAsia="仿宋_GB2312" w:hAnsi="Times New Roman" w:cs="Times New Roman"/>
          <w:b/>
          <w:bCs/>
          <w:sz w:val="32"/>
          <w:szCs w:val="32"/>
          <w:shd w:val="clear" w:color="090000" w:fill="FFFFFF"/>
        </w:rPr>
      </w:pPr>
      <w:r>
        <w:rPr>
          <w:rFonts w:ascii="Times New Roman" w:eastAsia="仿宋_GB2312" w:hAnsi="Times New Roman" w:cs="Times New Roman"/>
          <w:bCs/>
          <w:szCs w:val="32"/>
          <w:shd w:val="clear" w:color="080000" w:fill="FFFFFF"/>
        </w:rPr>
        <w:fldChar w:fldCharType="end"/>
      </w:r>
    </w:p>
    <w:p w:rsidR="00B9739B" w:rsidRDefault="00B9739B">
      <w:pPr>
        <w:pStyle w:val="1"/>
        <w:jc w:val="center"/>
        <w:rPr>
          <w:rFonts w:ascii="Times New Roman" w:eastAsia="黑体" w:hAnsi="Times New Roman" w:cs="Times New Roman" w:hint="default"/>
          <w:sz w:val="32"/>
          <w:szCs w:val="32"/>
        </w:rPr>
        <w:sectPr w:rsidR="00B9739B">
          <w:pgSz w:w="11906" w:h="16838"/>
          <w:pgMar w:top="1440" w:right="1800" w:bottom="1440" w:left="1800" w:header="851" w:footer="992" w:gutter="0"/>
          <w:pgNumType w:fmt="upperRoman" w:start="1"/>
          <w:cols w:space="720"/>
          <w:docGrid w:type="lines" w:linePitch="312"/>
        </w:sectPr>
      </w:pPr>
    </w:p>
    <w:p w:rsidR="00B9739B" w:rsidRDefault="00B24D01">
      <w:pPr>
        <w:pStyle w:val="1"/>
        <w:jc w:val="center"/>
        <w:rPr>
          <w:rFonts w:ascii="Times New Roman" w:eastAsia="黑体" w:hAnsi="Times New Roman" w:cs="Times New Roman" w:hint="default"/>
          <w:b w:val="0"/>
          <w:bCs/>
          <w:sz w:val="32"/>
          <w:szCs w:val="32"/>
        </w:rPr>
      </w:pPr>
      <w:bookmarkStart w:id="45" w:name="_Toc19375"/>
      <w:r>
        <w:rPr>
          <w:rFonts w:ascii="Times New Roman" w:eastAsia="黑体" w:hAnsi="Times New Roman" w:cs="Times New Roman" w:hint="default"/>
          <w:b w:val="0"/>
          <w:bCs/>
          <w:sz w:val="36"/>
          <w:szCs w:val="36"/>
        </w:rPr>
        <w:lastRenderedPageBreak/>
        <w:t>前言</w:t>
      </w:r>
      <w:bookmarkEnd w:id="45"/>
    </w:p>
    <w:p w:rsidR="00B9739B" w:rsidRDefault="00B9739B">
      <w:pPr>
        <w:spacing w:line="360" w:lineRule="auto"/>
        <w:ind w:firstLineChars="200" w:firstLine="640"/>
        <w:rPr>
          <w:rFonts w:ascii="Times New Roman" w:eastAsia="仿宋_GB2312" w:hAnsi="Times New Roman" w:cs="Times New Roman"/>
          <w:sz w:val="32"/>
          <w:szCs w:val="32"/>
        </w:rPr>
      </w:pP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建设生态文明是关乎中华民族永续发展的千年大计。</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月，习近平总书记在全国生态环境保护大会上强调，要加快构建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以产业生态化和生态产业化为主体的生态经济体系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新时代生态经济发展拓宽了视野、指明了方向、明确了重点。习近平生态文明思想是新时代生态文明建设的根本遵循和实践动力，党中央、国务院加快推进生态文明顶层设计和制度体系建设，为抚松县生态文明示范建设提供了全新指引。省委省政府、市委市政府关于生态文明建设、绿色生态产业发展等重大战略部署推动，有效促进抚松县经济要素有序自由流动、资源高效配置和市场深度融合，优化产业链分工布局，推动上下游产业链和关联产业协同发展，为推进抚松县生态文明建设、高质量发展提供了历史性机遇，为抚松县生态文明建设和高质量发展提供了强大动力。</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生态产业是继经济技术开发、高新技术产业开发发展的第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代产业。生态产业是包含工业、农业、居民区等生态环境和生存状况的一个有机系统。通过自然生态系统形成物流和能量的转化，通过两个或两个以上的生产体系或环节之间的耦合，使物质、能量多级利用，构成的具有高效的经济过程和和谐的生态功能的网络型产业。</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抚松县地处长白山西北麓，松花江上游，自然资源富集、</w:t>
      </w:r>
      <w:r>
        <w:rPr>
          <w:rFonts w:ascii="Times New Roman" w:eastAsia="仿宋_GB2312" w:hAnsi="Times New Roman" w:cs="Times New Roman"/>
          <w:sz w:val="32"/>
          <w:szCs w:val="32"/>
        </w:rPr>
        <w:lastRenderedPageBreak/>
        <w:t>生态环境良好。未来几年，抚松县将把高质量发展作为新时代坚持发展第一要务的总方向和主基调，将构建生态产业体系作为抚松县发展的主攻方向，以产业生态化、生态产业化为目标，推动生态与农业、工业、文旅、康养等产业深度融合，做强做优生态旅游、生态农业、生态康养等产业，培育发展节能环保、清洁生产、清洁能源等产业，提升附加值与竞争力，拓宽生态产品价值实现路径，构建保障群众稳定收益的长效机制，提高产业资源化、循环化、生态化水平，努力将绿色发展理念融入经济社会发展各领域、全过程，促进发展模式向绿色低碳、清洁安全转变，从源头上确保经济社会可持续发展。</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为全面贯彻落实中央及省（市）委省（市）政府决策部署，推动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理念试验区先行区建设再上新台阶，按照县委县政府工作安排，抚松县编制《抚松县生态产业发展规划（</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规划》）。《规划》立足抚松县资源禀赋、生态良好优势，全力打造绿色发展新高地，着力培育和构建具有抚松特色的生态产业化和产业生态化生态经济体系，是指导抚松县推进绿色生态产业发展的重要依据和实现绿色发展崛起的纲领性文件。</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《规划》基准年</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年，规划期至</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w:t>
      </w:r>
    </w:p>
    <w:p w:rsidR="00B9739B" w:rsidRDefault="00B9739B">
      <w:pPr>
        <w:pStyle w:val="3"/>
        <w:rPr>
          <w:rFonts w:ascii="Times New Roman" w:hAnsi="Times New Roman" w:cs="Times New Roman"/>
        </w:rPr>
        <w:sectPr w:rsidR="00B9739B">
          <w:footerReference w:type="default" r:id="rId7"/>
          <w:pgSz w:w="11906" w:h="16838"/>
          <w:pgMar w:top="1440" w:right="1800" w:bottom="1440" w:left="1800" w:header="851" w:footer="992" w:gutter="0"/>
          <w:pgNumType w:start="1"/>
          <w:cols w:space="720"/>
          <w:docGrid w:type="lines" w:linePitch="312"/>
        </w:sectPr>
      </w:pPr>
    </w:p>
    <w:p w:rsidR="00B9739B" w:rsidRDefault="00B24D01">
      <w:pPr>
        <w:pStyle w:val="1"/>
        <w:jc w:val="center"/>
        <w:rPr>
          <w:rFonts w:ascii="Times New Roman" w:eastAsia="黑体" w:hAnsi="Times New Roman" w:cs="Times New Roman" w:hint="default"/>
          <w:sz w:val="36"/>
          <w:szCs w:val="36"/>
        </w:rPr>
      </w:pPr>
      <w:bookmarkStart w:id="46" w:name="_Toc32343"/>
      <w:r>
        <w:rPr>
          <w:rFonts w:ascii="Times New Roman" w:eastAsia="黑体" w:hAnsi="Times New Roman" w:cs="Times New Roman" w:hint="default"/>
          <w:b w:val="0"/>
          <w:bCs/>
          <w:sz w:val="36"/>
          <w:szCs w:val="36"/>
        </w:rPr>
        <w:lastRenderedPageBreak/>
        <w:t>第一章规划背景</w:t>
      </w:r>
      <w:bookmarkEnd w:id="4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抚松县位于吉林省东南部，长白山西北麓，是松花江源头和全国重要的林业基地，境内分布有松江河、泉阳、露水河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个省属森工企业局；幅员面积</w:t>
      </w:r>
      <w:r>
        <w:rPr>
          <w:rFonts w:ascii="Times New Roman" w:eastAsia="仿宋_GB2312" w:hAnsi="Times New Roman" w:cs="Times New Roman"/>
          <w:sz w:val="32"/>
          <w:szCs w:val="32"/>
        </w:rPr>
        <w:t>6159</w:t>
      </w:r>
      <w:r>
        <w:rPr>
          <w:rFonts w:ascii="Times New Roman" w:eastAsia="仿宋_GB2312" w:hAnsi="Times New Roman" w:cs="Times New Roman"/>
          <w:sz w:val="32"/>
          <w:szCs w:val="32"/>
        </w:rPr>
        <w:t>平方公里，土地广袤，资源禀赋，拥有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万公顷长白山国家级自然保护区，素有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立体资源宝库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之称。拥有</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度夏天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森林城市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冰雪运动天堂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等独有的生态产品名片。抚松县地处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长辽梅通白延医药健康产业走廊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长通白延吉长避暑冰雪旅游大环线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的核心区域，是白山－长白山两地一体化发展的桥梁和纽带。随着党的二十大胜利召开，国家稳经济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一揽子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政策和接续措施全面落地，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生态强省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医药强省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冰雪经济强省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协同发展战略政策利好不断显现。抚松县在中央和省市推出的系列政策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组合拳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的带动下，矢志走出长白山区独具特色的生态绿色产业发展之路。</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47" w:name="_Toc16649"/>
      <w:r>
        <w:rPr>
          <w:rFonts w:ascii="Times New Roman" w:eastAsia="楷体" w:hAnsi="Times New Roman" w:cs="Times New Roman"/>
          <w:szCs w:val="32"/>
        </w:rPr>
        <w:t>第一节发展基础</w:t>
      </w:r>
      <w:bookmarkEnd w:id="47"/>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sz w:val="32"/>
          <w:szCs w:val="32"/>
        </w:rPr>
        <w:t>近年来，抚松县深入贯彻习近平新时代中国特色社会主义思想，深入践行白山－长白山区域协同发展战略，扛起松东一体化先导区建设大旗，在大长白山建设新版图上筑牢了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核心区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先行区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重要地位。被认定为国家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绿水青山就是金山银山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实践创新基地，成功入列国家生态文明建设示范区，国家全域旅游示范区通过省级验收、位居榜首；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样板</w:t>
      </w:r>
      <w:r>
        <w:rPr>
          <w:rFonts w:ascii="Times New Roman" w:eastAsia="仿宋_GB2312" w:hAnsi="Times New Roman" w:cs="Times New Roman"/>
          <w:sz w:val="32"/>
          <w:szCs w:val="32"/>
        </w:rPr>
        <w:lastRenderedPageBreak/>
        <w:t>建设取得突破性进展。</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生态环境获得认可。</w:t>
      </w:r>
      <w:r>
        <w:rPr>
          <w:rFonts w:ascii="Times New Roman" w:eastAsia="仿宋_GB2312" w:hAnsi="Times New Roman" w:cs="Times New Roman"/>
          <w:sz w:val="32"/>
          <w:szCs w:val="32"/>
        </w:rPr>
        <w:t>抚松县荣膺国家科技示范县、国家农业绿色发展先行区、首批国家级滑雪旅游度假地等重磅殊荣。先后荣获绿色中国特别贡献奖，全国避暑旅游十佳城市、中国最美县域、中国魅力文化旅游名县、中国绿色名县、中国最美宜居宜业宜旅游城市、中国最具有投资潜力旅游目的地、最美中国生态旅游目的地、全国第二批流域水环境综合治理与可持续发展试点、国家级首批吉林省绿色产业示范基地建设试点、全国低碳国土试验区、全国文明县城、全国森林旅游旅游示范县、国家园林县城、百佳深呼吸小城、全国十佳生态休闲旅游城市等诸多荣誉。黄家崴子村和锦江木屋村被列为国家第一批绿色村庄，松江河镇被列入国家第二批特色小镇，万良人参特色小镇被评为</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中国农业博鳌论坛年度最具投资价值特色小镇。</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两山</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项目落地见效。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理念不断深入人心，生态文明建设不断强化，生态修复和建设不断推进，碧水、蓝天、青山、净土环保行动深入实施，污染防治攻坚战取得阶段性成果。县乡村三级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河长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制全覆盖。列入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重点项目库</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个，总投资</w:t>
      </w:r>
      <w:r>
        <w:rPr>
          <w:rFonts w:ascii="Times New Roman" w:eastAsia="仿宋_GB2312" w:hAnsi="Times New Roman" w:cs="Times New Roman"/>
          <w:sz w:val="32"/>
          <w:szCs w:val="32"/>
        </w:rPr>
        <w:t>313.5</w:t>
      </w:r>
      <w:r>
        <w:rPr>
          <w:rFonts w:ascii="Times New Roman" w:eastAsia="仿宋_GB2312" w:hAnsi="Times New Roman" w:cs="Times New Roman"/>
          <w:sz w:val="32"/>
          <w:szCs w:val="32"/>
        </w:rPr>
        <w:t>亿元。目前总投资</w:t>
      </w:r>
      <w:r>
        <w:rPr>
          <w:rFonts w:ascii="Times New Roman" w:eastAsia="仿宋_GB2312" w:hAnsi="Times New Roman" w:cs="Times New Roman"/>
          <w:sz w:val="32"/>
          <w:szCs w:val="32"/>
        </w:rPr>
        <w:t>248</w:t>
      </w:r>
      <w:r>
        <w:rPr>
          <w:rFonts w:ascii="Times New Roman" w:eastAsia="仿宋_GB2312" w:hAnsi="Times New Roman" w:cs="Times New Roman"/>
          <w:sz w:val="32"/>
          <w:szCs w:val="32"/>
        </w:rPr>
        <w:t>亿元的吉林漫江生态文化旅游综合开发项目，已完成投资</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亿元，同时吉林鲁能漫江生态旅游开发有限公司和白山市福祥堂老百姓大药房先后被授予省级优秀服务业企业荣誉称号并授牌；总投资</w:t>
      </w:r>
      <w:r>
        <w:rPr>
          <w:rFonts w:ascii="Times New Roman" w:eastAsia="仿宋_GB2312" w:hAnsi="Times New Roman" w:cs="Times New Roman"/>
          <w:sz w:val="32"/>
          <w:szCs w:val="32"/>
        </w:rPr>
        <w:lastRenderedPageBreak/>
        <w:t>8.98</w:t>
      </w:r>
      <w:r>
        <w:rPr>
          <w:rFonts w:ascii="Times New Roman" w:eastAsia="仿宋_GB2312" w:hAnsi="Times New Roman" w:cs="Times New Roman"/>
          <w:sz w:val="32"/>
          <w:szCs w:val="32"/>
        </w:rPr>
        <w:t>亿元抚松工业园区食药纳米产业园标准化厂房及配套基础设施建设项目，已完成</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栋厂房封顶；总投资</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亿元的人参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研产仓销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服务综合体建设项目，已完成一期主体建筑工程。</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森林生态化初见成效。</w:t>
      </w:r>
      <w:r>
        <w:rPr>
          <w:rFonts w:ascii="Times New Roman" w:eastAsia="仿宋_GB2312" w:hAnsi="Times New Roman" w:cs="Times New Roman"/>
          <w:sz w:val="32"/>
          <w:szCs w:val="32"/>
        </w:rPr>
        <w:t>全县生态公益林占林地面积的</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，木材总蓄积量</w:t>
      </w:r>
      <w:r>
        <w:rPr>
          <w:rFonts w:ascii="Times New Roman" w:eastAsia="仿宋_GB2312" w:hAnsi="Times New Roman" w:cs="Times New Roman"/>
          <w:sz w:val="32"/>
          <w:szCs w:val="32"/>
        </w:rPr>
        <w:t>8500</w:t>
      </w:r>
      <w:r>
        <w:rPr>
          <w:rFonts w:ascii="Times New Roman" w:eastAsia="仿宋_GB2312" w:hAnsi="Times New Roman" w:cs="Times New Roman"/>
          <w:sz w:val="32"/>
          <w:szCs w:val="32"/>
        </w:rPr>
        <w:t>万立方米，成为吉林省天然红松母树林基地。空气质量持续改善，空气中负氧离子含量高，空气环境质量优良率常年超过</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，生态环境质量指数位居全省前列。生物种群日益丰富，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期间全县建成</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个自然保护区和</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个国家级森林公园，野生动植物栖息地得到有效保护，全县现有野生植物</w:t>
      </w:r>
      <w:r>
        <w:rPr>
          <w:rFonts w:ascii="Times New Roman" w:eastAsia="仿宋_GB2312" w:hAnsi="Times New Roman" w:cs="Times New Roman"/>
          <w:sz w:val="32"/>
          <w:szCs w:val="32"/>
        </w:rPr>
        <w:t>2639</w:t>
      </w:r>
      <w:r>
        <w:rPr>
          <w:rFonts w:ascii="Times New Roman" w:eastAsia="仿宋_GB2312" w:hAnsi="Times New Roman" w:cs="Times New Roman"/>
          <w:sz w:val="32"/>
          <w:szCs w:val="32"/>
        </w:rPr>
        <w:t>种，中华秋沙鸭等国家一级保护野生动物的数量不断增加。完成造林绿化</w:t>
      </w:r>
      <w:r>
        <w:rPr>
          <w:rFonts w:ascii="Times New Roman" w:eastAsia="仿宋_GB2312" w:hAnsi="Times New Roman" w:cs="Times New Roman"/>
          <w:sz w:val="32"/>
          <w:szCs w:val="32"/>
        </w:rPr>
        <w:t>1166</w:t>
      </w:r>
      <w:r>
        <w:rPr>
          <w:rFonts w:ascii="Times New Roman" w:eastAsia="仿宋_GB2312" w:hAnsi="Times New Roman" w:cs="Times New Roman"/>
          <w:sz w:val="32"/>
          <w:szCs w:val="32"/>
        </w:rPr>
        <w:t>公顷、森林有害生物防治</w:t>
      </w:r>
      <w:r>
        <w:rPr>
          <w:rFonts w:ascii="Times New Roman" w:eastAsia="仿宋_GB2312" w:hAnsi="Times New Roman" w:cs="Times New Roman"/>
          <w:sz w:val="32"/>
          <w:szCs w:val="32"/>
        </w:rPr>
        <w:t>1709</w:t>
      </w:r>
      <w:r>
        <w:rPr>
          <w:rFonts w:ascii="Times New Roman" w:eastAsia="仿宋_GB2312" w:hAnsi="Times New Roman" w:cs="Times New Roman"/>
          <w:sz w:val="32"/>
          <w:szCs w:val="32"/>
        </w:rPr>
        <w:t>公顷。环境空气质量优良天数比例达</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w:t>
      </w:r>
      <w:r>
        <w:rPr>
          <w:rFonts w:ascii="Times New Roman" w:eastAsia="仿宋_GB2312" w:hAnsi="Times New Roman" w:cs="Times New Roman"/>
          <w:sz w:val="32"/>
          <w:szCs w:val="32"/>
        </w:rPr>
        <w:t>PM2.5</w:t>
      </w:r>
      <w:r>
        <w:rPr>
          <w:rFonts w:ascii="Times New Roman" w:eastAsia="仿宋_GB2312" w:hAnsi="Times New Roman" w:cs="Times New Roman"/>
          <w:sz w:val="32"/>
          <w:szCs w:val="32"/>
        </w:rPr>
        <w:t>均值连续</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年优于国家标准，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鸟中之王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东方白鹳等国家一级保护动物数量持续增加。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期间完成植树造林</w:t>
      </w:r>
      <w:r>
        <w:rPr>
          <w:rFonts w:ascii="Times New Roman" w:eastAsia="仿宋_GB2312" w:hAnsi="Times New Roman" w:cs="Times New Roman"/>
          <w:sz w:val="32"/>
          <w:szCs w:val="32"/>
        </w:rPr>
        <w:t>3.23</w:t>
      </w:r>
      <w:r>
        <w:rPr>
          <w:rFonts w:ascii="Times New Roman" w:eastAsia="仿宋_GB2312" w:hAnsi="Times New Roman" w:cs="Times New Roman"/>
          <w:sz w:val="32"/>
          <w:szCs w:val="32"/>
        </w:rPr>
        <w:t>万亩，森林抚育</w:t>
      </w:r>
      <w:r>
        <w:rPr>
          <w:rFonts w:ascii="Times New Roman" w:eastAsia="仿宋_GB2312" w:hAnsi="Times New Roman" w:cs="Times New Roman"/>
          <w:sz w:val="32"/>
          <w:szCs w:val="32"/>
        </w:rPr>
        <w:t>1.97</w:t>
      </w:r>
      <w:r>
        <w:rPr>
          <w:rFonts w:ascii="Times New Roman" w:eastAsia="仿宋_GB2312" w:hAnsi="Times New Roman" w:cs="Times New Roman"/>
          <w:sz w:val="32"/>
          <w:szCs w:val="32"/>
        </w:rPr>
        <w:t>万亩，设立了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个中华秋沙鸭保护区和</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个湿地公园。</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水产集群化初见雏形。</w:t>
      </w:r>
      <w:r>
        <w:rPr>
          <w:rFonts w:ascii="Times New Roman" w:eastAsia="仿宋_GB2312" w:hAnsi="Times New Roman" w:cs="Times New Roman"/>
          <w:sz w:val="32"/>
          <w:szCs w:val="32"/>
        </w:rPr>
        <w:t>全县天然矿泉资源丰富，已探明水源地</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处，被誉为世界天然优质矿泉水源富集地之一。设立了</w:t>
      </w:r>
      <w:r>
        <w:rPr>
          <w:rFonts w:ascii="Times New Roman" w:eastAsia="仿宋_GB2312" w:hAnsi="Times New Roman" w:cs="Times New Roman"/>
          <w:sz w:val="32"/>
          <w:szCs w:val="32"/>
        </w:rPr>
        <w:t>370.18</w:t>
      </w:r>
      <w:r>
        <w:rPr>
          <w:rFonts w:ascii="Times New Roman" w:eastAsia="仿宋_GB2312" w:hAnsi="Times New Roman" w:cs="Times New Roman"/>
          <w:sz w:val="32"/>
          <w:szCs w:val="32"/>
        </w:rPr>
        <w:t>平方公里的吉林长白山天然矿泉水抚松饮用水保护区，水质持续保持优良，长白山黑鳌虾重回山涧，中华秋沙鸭数量增至</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只以上。全县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个省级考核断面和</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处县级</w:t>
      </w:r>
      <w:r>
        <w:rPr>
          <w:rFonts w:ascii="Times New Roman" w:eastAsia="仿宋_GB2312" w:hAnsi="Times New Roman" w:cs="Times New Roman"/>
          <w:sz w:val="32"/>
          <w:szCs w:val="32"/>
        </w:rPr>
        <w:lastRenderedPageBreak/>
        <w:t>以上集中式饮用水源地水质达标率为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，境内地表水环境质量常年保持在</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类以上；推进</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个矿泉水产业园区建设，培育泉阳泉矿泉水等本土企业，引进农夫山泉等国内龙头企业，对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年投产的总投资</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亿、拥有两条生产线、年产</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万吨的清水泉项目进一步加大支持维护力度。集聚形成了一大批矿泉水、饮品生产及加工企业，打造泉阳泉、林海雪原、峡谷泉等多个驰名商标，泉阳泉成为第十七届中国长春电影节、第五届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进博会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官方指定用水。</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年，全县矿泉水产量达到</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万吨，实现税收</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亿元，水生态产品价值得以实现。</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人参产业集约化初具规模。</w:t>
      </w:r>
      <w:r>
        <w:rPr>
          <w:rFonts w:ascii="Times New Roman" w:eastAsia="仿宋_GB2312" w:hAnsi="Times New Roman" w:cs="Times New Roman"/>
          <w:sz w:val="32"/>
          <w:szCs w:val="32"/>
        </w:rPr>
        <w:t>抚松县拥有</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多年野山参采挖历史和</w:t>
      </w:r>
      <w:r>
        <w:rPr>
          <w:rFonts w:ascii="Times New Roman" w:eastAsia="仿宋_GB2312" w:hAnsi="Times New Roman" w:cs="Times New Roman"/>
          <w:sz w:val="32"/>
          <w:szCs w:val="32"/>
        </w:rPr>
        <w:t>450</w:t>
      </w:r>
      <w:r>
        <w:rPr>
          <w:rFonts w:ascii="Times New Roman" w:eastAsia="仿宋_GB2312" w:hAnsi="Times New Roman" w:cs="Times New Roman"/>
          <w:sz w:val="32"/>
          <w:szCs w:val="32"/>
        </w:rPr>
        <w:t>多年人参人工栽培历史。全县非林地栽参面积占人参种植总面积的</w:t>
      </w:r>
      <w:r>
        <w:rPr>
          <w:rFonts w:ascii="Times New Roman" w:eastAsia="仿宋_GB2312" w:hAnsi="Times New Roman" w:cs="Times New Roman"/>
          <w:sz w:val="32"/>
          <w:szCs w:val="32"/>
        </w:rPr>
        <w:t>88%</w:t>
      </w:r>
      <w:r>
        <w:rPr>
          <w:rFonts w:ascii="Times New Roman" w:eastAsia="仿宋_GB2312" w:hAnsi="Times New Roman" w:cs="Times New Roman"/>
          <w:sz w:val="32"/>
          <w:szCs w:val="32"/>
        </w:rPr>
        <w:t>，林下参留存面积达到</w:t>
      </w:r>
      <w:r>
        <w:rPr>
          <w:rFonts w:ascii="Times New Roman" w:eastAsia="仿宋_GB2312" w:hAnsi="Times New Roman" w:cs="Times New Roman"/>
          <w:sz w:val="32"/>
          <w:szCs w:val="32"/>
        </w:rPr>
        <w:t>1.87</w:t>
      </w:r>
      <w:r>
        <w:rPr>
          <w:rFonts w:ascii="Times New Roman" w:eastAsia="仿宋_GB2312" w:hAnsi="Times New Roman" w:cs="Times New Roman"/>
          <w:sz w:val="32"/>
          <w:szCs w:val="32"/>
        </w:rPr>
        <w:t>万公顷。人参标准化种植面积达到</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以上，人参优质安全用药</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。开发了人参饮品、保健品、化妆品、药品及食品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大系列</w:t>
      </w:r>
      <w:r>
        <w:rPr>
          <w:rFonts w:ascii="Times New Roman" w:eastAsia="仿宋_GB2312" w:hAnsi="Times New Roman" w:cs="Times New Roman"/>
          <w:sz w:val="32"/>
          <w:szCs w:val="32"/>
        </w:rPr>
        <w:t>600</w:t>
      </w:r>
      <w:r>
        <w:rPr>
          <w:rFonts w:ascii="Times New Roman" w:eastAsia="仿宋_GB2312" w:hAnsi="Times New Roman" w:cs="Times New Roman"/>
          <w:sz w:val="32"/>
          <w:szCs w:val="32"/>
        </w:rPr>
        <w:t>余种精深加工产品。全县拥有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抚松林下山参</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个国家地理标识证明商标、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和善堂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个吉林省著名商标、人参米等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个吉林省名牌产品；聚兴源人参加工生产线扩建项目开工建设，恒康生物人参蜜片深加工项目建成投产。投资</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万元的长白山人参特产保健饮品项目实现当年签约当年开工；科技型中小企业入库</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户，汇参堂等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户企业被认定为省级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企业，利生源等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户企业获批国家级高新技术企业。规上人参医药企业实现产值</w:t>
      </w:r>
      <w:r>
        <w:rPr>
          <w:rFonts w:ascii="Times New Roman" w:eastAsia="仿宋_GB2312" w:hAnsi="Times New Roman" w:cs="Times New Roman"/>
          <w:sz w:val="32"/>
          <w:szCs w:val="32"/>
        </w:rPr>
        <w:t>6.2</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lastRenderedPageBreak/>
        <w:t>建设并培育了全国最大、功能最全的万良长白山人参交易市场，覆盖鲜参、干参、人参生产资料、参籽、人参拍卖、仓储物流等交易，形成了全国人参及相关产品的交易、结算、物流、仓储集散中心，初步形成了产业集约化、品牌化发展格局。</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旅游高端化加速推进。</w:t>
      </w:r>
      <w:r>
        <w:rPr>
          <w:rFonts w:ascii="Times New Roman" w:eastAsia="仿宋_GB2312" w:hAnsi="Times New Roman" w:cs="Times New Roman"/>
          <w:sz w:val="32"/>
          <w:szCs w:val="32"/>
        </w:rPr>
        <w:t>整合全县旅游资源，打造国际旅游名城。逐步形成了长白山休闲度假、冰雪旅游及运动、温泉康养和乡村民俗等高中低端互补的四大旅游模块。建立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景区带动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资源驱动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融合拉动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迭加模式，开发了森林生态游、乡村休闲游、健康养生游等系列产品，以及长白山之路、松花江之路、人参之路三大主题线路，形成了名胜、名城、名镇、名品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四名一体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的特色旅游格局；成功开通松花江水上旅游航线，填补了长白山区域水上旅游空白；省级重点旅游项目松江河镇高铁新城旅游接待区（一期）完成主体建设；全球最大的旅游度假连锁集团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地中海俱乐部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落户鲁能胜地；长白山国际度假区滑雪总里程入列全国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前三甲</w:t>
      </w:r>
      <w:r>
        <w:rPr>
          <w:rFonts w:ascii="Times New Roman" w:eastAsia="仿宋_GB2312" w:hAnsi="Times New Roman" w:cs="Times New Roman"/>
          <w:sz w:val="32"/>
          <w:szCs w:val="32"/>
        </w:rPr>
        <w:t>”</w:t>
      </w:r>
      <w:r>
        <w:rPr>
          <w:rFonts w:ascii="Times New Roman" w:eastAsia="仿宋_GB2312" w:hAnsi="Times New Roman" w:cs="Times New Roman"/>
          <w:sz w:val="32"/>
          <w:szCs w:val="32"/>
        </w:rPr>
        <w:t>。锦江村和青年村分别入选国家级和省级乡村旅游重点村，露水河国家森林公园和农夫山泉有限公司被确定为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吉林省首批研学旅行基地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。多处景观成为《人世间》、《搜救》等热播影视剧取景地、热门网红打卡地。</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年全县接待游客</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万人次，旅游收入</w:t>
      </w:r>
      <w:r>
        <w:rPr>
          <w:rFonts w:ascii="Times New Roman" w:eastAsia="仿宋_GB2312" w:hAnsi="Times New Roman" w:cs="Times New Roman"/>
          <w:sz w:val="32"/>
          <w:szCs w:val="32"/>
        </w:rPr>
        <w:t>8.2</w:t>
      </w:r>
      <w:r>
        <w:rPr>
          <w:rFonts w:ascii="Times New Roman" w:eastAsia="仿宋_GB2312" w:hAnsi="Times New Roman" w:cs="Times New Roman"/>
          <w:sz w:val="32"/>
          <w:szCs w:val="32"/>
        </w:rPr>
        <w:t>亿元。</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城乡面貌显著改善。</w:t>
      </w:r>
      <w:r>
        <w:rPr>
          <w:rFonts w:ascii="Times New Roman" w:eastAsia="仿宋_GB2312" w:hAnsi="Times New Roman" w:cs="Times New Roman"/>
          <w:sz w:val="32"/>
          <w:szCs w:val="32"/>
        </w:rPr>
        <w:t>城市主街路及巷道改造，配套铺设</w:t>
      </w:r>
      <w:r>
        <w:rPr>
          <w:rFonts w:ascii="Times New Roman" w:eastAsia="仿宋_GB2312" w:hAnsi="Times New Roman" w:cs="Times New Roman"/>
          <w:sz w:val="32"/>
          <w:szCs w:val="32"/>
        </w:rPr>
        <w:lastRenderedPageBreak/>
        <w:t>污水管网、雨水管网等建设成绩显著；城市亮灯率达到</w:t>
      </w:r>
      <w:r>
        <w:rPr>
          <w:rFonts w:ascii="Times New Roman" w:eastAsia="仿宋_GB2312" w:hAnsi="Times New Roman" w:cs="Times New Roman"/>
          <w:sz w:val="32"/>
          <w:szCs w:val="32"/>
        </w:rPr>
        <w:t>98.00%</w:t>
      </w:r>
      <w:r>
        <w:rPr>
          <w:rFonts w:ascii="Times New Roman" w:eastAsia="仿宋_GB2312" w:hAnsi="Times New Roman" w:cs="Times New Roman"/>
          <w:sz w:val="32"/>
          <w:szCs w:val="32"/>
        </w:rPr>
        <w:t>；农村面貌大有改观，建成省级美丽乡村</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个。投资</w:t>
      </w:r>
      <w:r>
        <w:rPr>
          <w:rFonts w:ascii="Times New Roman" w:eastAsia="仿宋_GB2312" w:hAnsi="Times New Roman" w:cs="Times New Roman"/>
          <w:sz w:val="32"/>
          <w:szCs w:val="32"/>
        </w:rPr>
        <w:t>1841</w:t>
      </w:r>
      <w:r>
        <w:rPr>
          <w:rFonts w:ascii="Times New Roman" w:eastAsia="仿宋_GB2312" w:hAnsi="Times New Roman" w:cs="Times New Roman"/>
          <w:sz w:val="32"/>
          <w:szCs w:val="32"/>
        </w:rPr>
        <w:t>万元，深入实施农村危房改造、农村改厕、休闲广场、农村公路、安全饮水、植树绿化等工程。投资</w:t>
      </w:r>
      <w:r>
        <w:rPr>
          <w:rFonts w:ascii="Times New Roman" w:eastAsia="仿宋_GB2312" w:hAnsi="Times New Roman" w:cs="Times New Roman"/>
          <w:sz w:val="32"/>
          <w:szCs w:val="32"/>
        </w:rPr>
        <w:t>1.55</w:t>
      </w:r>
      <w:r>
        <w:rPr>
          <w:rFonts w:ascii="Times New Roman" w:eastAsia="仿宋_GB2312" w:hAnsi="Times New Roman" w:cs="Times New Roman"/>
          <w:sz w:val="32"/>
          <w:szCs w:val="32"/>
        </w:rPr>
        <w:t>亿元，新建万良镇和仙人桥镇城乡一体化集中供水项目，实现</w:t>
      </w:r>
      <w:r>
        <w:rPr>
          <w:rFonts w:ascii="Times New Roman" w:eastAsia="仿宋_GB2312" w:hAnsi="Times New Roman" w:cs="Times New Roman"/>
          <w:sz w:val="32"/>
          <w:szCs w:val="32"/>
        </w:rPr>
        <w:t>3.66</w:t>
      </w:r>
      <w:r>
        <w:rPr>
          <w:rFonts w:ascii="Times New Roman" w:eastAsia="仿宋_GB2312" w:hAnsi="Times New Roman" w:cs="Times New Roman"/>
          <w:sz w:val="32"/>
          <w:szCs w:val="32"/>
        </w:rPr>
        <w:t>万人饮水安全得到保障。</w:t>
      </w:r>
    </w:p>
    <w:p w:rsidR="00B9739B" w:rsidRDefault="00B24D01">
      <w:pPr>
        <w:autoSpaceDE w:val="0"/>
        <w:autoSpaceDN w:val="0"/>
        <w:adjustRightInd w:val="0"/>
        <w:spacing w:line="360" w:lineRule="auto"/>
        <w:ind w:firstLine="641"/>
        <w:rPr>
          <w:rFonts w:ascii="Times New Roman" w:eastAsia="仿宋_GB2312" w:hAnsi="Times New Roman" w:cs="Times New Roman"/>
          <w:sz w:val="32"/>
          <w:szCs w:val="32"/>
        </w:rPr>
      </w:pPr>
      <w:r>
        <w:rPr>
          <w:rFonts w:ascii="Times New Roman" w:eastAsia="仿宋_GB2312" w:hAnsi="Times New Roman" w:cs="Times New Roman"/>
          <w:b/>
          <w:bCs/>
          <w:sz w:val="32"/>
          <w:szCs w:val="32"/>
        </w:rPr>
        <w:t>乡村</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和美化</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初步形成。</w:t>
      </w:r>
      <w:r>
        <w:rPr>
          <w:rFonts w:ascii="Times New Roman" w:eastAsia="仿宋_GB2312" w:hAnsi="Times New Roman" w:cs="Times New Roman"/>
          <w:sz w:val="32"/>
          <w:szCs w:val="32"/>
        </w:rPr>
        <w:t>落实衔接资金</w:t>
      </w:r>
      <w:r>
        <w:rPr>
          <w:rFonts w:ascii="Times New Roman" w:eastAsia="仿宋_GB2312" w:hAnsi="Times New Roman" w:cs="Times New Roman"/>
          <w:sz w:val="32"/>
          <w:szCs w:val="32"/>
        </w:rPr>
        <w:t>2600</w:t>
      </w:r>
      <w:r>
        <w:rPr>
          <w:rFonts w:ascii="Times New Roman" w:eastAsia="仿宋_GB2312" w:hAnsi="Times New Roman" w:cs="Times New Roman"/>
          <w:sz w:val="32"/>
          <w:szCs w:val="32"/>
        </w:rPr>
        <w:t>万元，实施北岗镇藤编加工等产业项目</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个。自然王国、长白明珠等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户企业被评为省级乡村振兴补短板项目。整合资金</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亿元，实施基础设施建设项目</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个，改建农村公路</w:t>
      </w:r>
      <w:r>
        <w:rPr>
          <w:rFonts w:ascii="Times New Roman" w:eastAsia="仿宋_GB2312" w:hAnsi="Times New Roman" w:cs="Times New Roman"/>
          <w:sz w:val="32"/>
          <w:szCs w:val="32"/>
        </w:rPr>
        <w:t>79</w:t>
      </w:r>
      <w:r>
        <w:rPr>
          <w:rFonts w:ascii="Times New Roman" w:eastAsia="仿宋_GB2312" w:hAnsi="Times New Roman" w:cs="Times New Roman"/>
          <w:sz w:val="32"/>
          <w:szCs w:val="32"/>
        </w:rPr>
        <w:t>公里，创建千村示范村</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个，仙人桥镇黄家崴子村被评为中国美丽休闲乡村。投资</w:t>
      </w:r>
      <w:r>
        <w:rPr>
          <w:rFonts w:ascii="Times New Roman" w:eastAsia="仿宋_GB2312" w:hAnsi="Times New Roman" w:cs="Times New Roman"/>
          <w:sz w:val="32"/>
          <w:szCs w:val="32"/>
        </w:rPr>
        <w:t>4712</w:t>
      </w:r>
      <w:r>
        <w:rPr>
          <w:rFonts w:ascii="Times New Roman" w:eastAsia="仿宋_GB2312" w:hAnsi="Times New Roman" w:cs="Times New Roman"/>
          <w:sz w:val="32"/>
          <w:szCs w:val="32"/>
        </w:rPr>
        <w:t>万元，完善农村生活垃圾收运处置体系。整治农户庭院</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万户，创建干净人家</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户。推进农村移风易俗，完善提升村规民约，创建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最美家庭</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户，兴隆乡、新屯子镇被评为省级文明村镇。万良镇被认定为省级乡村振兴示范镇。东岗镇成为国家级首批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百博入村科创小院示范基地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48" w:name="_Toc3682"/>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问题与挑战</w:t>
      </w:r>
      <w:bookmarkEnd w:id="4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经历三年新冠肺炎疫情严重冲击，抚松县委县政府带领全县人民攻坚克难、负重前行，经济稳中有进，生态产业快速发展，但也存在一些短板弱项。</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生态发展机制不完善。</w:t>
      </w:r>
      <w:r>
        <w:rPr>
          <w:rFonts w:ascii="Times New Roman" w:eastAsia="仿宋_GB2312" w:hAnsi="Times New Roman" w:cs="Times New Roman"/>
          <w:sz w:val="32"/>
          <w:szCs w:val="32"/>
        </w:rPr>
        <w:t>生态经济发展顶层设计有待完善，</w:t>
      </w:r>
      <w:r>
        <w:rPr>
          <w:rFonts w:ascii="Times New Roman" w:eastAsia="仿宋_GB2312" w:hAnsi="Times New Roman" w:cs="Times New Roman"/>
          <w:sz w:val="32"/>
          <w:szCs w:val="32"/>
        </w:rPr>
        <w:lastRenderedPageBreak/>
        <w:t>生态经济创新动力不足，缺乏政策扶持，生态经济发展市场不健全，部分领域体制障碍依然严重。矿泉水水源大都在林业局各类施业区或禁止开发区内，涉及征占林地，禁伐等，项目建设所需的林地审批受到严重制约，一定程度上影响了矿泉水产业发展。</w:t>
      </w:r>
    </w:p>
    <w:p w:rsidR="00B9739B" w:rsidRDefault="00B24D01">
      <w:pPr>
        <w:spacing w:line="360" w:lineRule="auto"/>
        <w:ind w:firstLineChars="200" w:firstLine="643"/>
        <w:rPr>
          <w:rFonts w:ascii="Times New Roman" w:eastAsia="仿宋_GB2312" w:hAnsi="Times New Roman" w:cs="Times New Roman"/>
        </w:rPr>
      </w:pPr>
      <w:r>
        <w:rPr>
          <w:rFonts w:ascii="Times New Roman" w:eastAsia="仿宋_GB2312" w:hAnsi="Times New Roman" w:cs="Times New Roman"/>
          <w:b/>
          <w:bCs/>
          <w:sz w:val="32"/>
          <w:szCs w:val="32"/>
        </w:rPr>
        <w:t>水源地保护难度较大</w:t>
      </w:r>
      <w:r>
        <w:rPr>
          <w:rFonts w:ascii="Times New Roman" w:eastAsia="仿宋_GB2312" w:hAnsi="Times New Roman" w:cs="Times New Roman"/>
          <w:sz w:val="32"/>
          <w:szCs w:val="32"/>
        </w:rPr>
        <w:t>。水源地保护关乎矿泉水产业可持续发展。抚松县域内诸多水源对外发包从事经营活动；多处水源周边为村落聚集，对水源形成潜在破坏和污染，需生态移民拆迁实施水源地保护。但县级财力薄弱，资金不足，难以独立承担该项生态补偿和生态移民资金。</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集群集约化发展缓慢。</w:t>
      </w:r>
      <w:r>
        <w:rPr>
          <w:rFonts w:ascii="Times New Roman" w:eastAsia="仿宋_GB2312" w:hAnsi="Times New Roman" w:cs="Times New Roman"/>
          <w:sz w:val="32"/>
          <w:szCs w:val="32"/>
        </w:rPr>
        <w:t>旅游、人参、矿泉水、中医药材等主要产业集群化规模小，横向间企业彼此内在联系少，上下游和外围服务企业配套不紧密，产业链条过短，产业间关联度低。产品销售渠道较窄，还处于传统企业商业营销模式。人参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研产仓销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服务综合体及品牌带产业、企业带基地、合作社带种植户的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模式还没有形成，作为全国乃至世界闻名的人参主产地，还没有形成与之相匹配的世界级人参产业集群。</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产供销一体化不畅。</w:t>
      </w:r>
      <w:r>
        <w:rPr>
          <w:rFonts w:ascii="Times New Roman" w:eastAsia="仿宋_GB2312" w:hAnsi="Times New Roman" w:cs="Times New Roman"/>
          <w:sz w:val="32"/>
          <w:szCs w:val="32"/>
        </w:rPr>
        <w:t>缺乏以产业为抓手的大数据平台。抚松县特色农产品种植普遍还处在低水平、粗放型阶段，种植成本高，竞争力低，产品错过销售旺季会造成经济损失。抚松县处于物流运输末端，地处深山，交通滞后，导致企业</w:t>
      </w:r>
      <w:r>
        <w:rPr>
          <w:rFonts w:ascii="Times New Roman" w:eastAsia="仿宋_GB2312" w:hAnsi="Times New Roman" w:cs="Times New Roman"/>
          <w:sz w:val="32"/>
          <w:szCs w:val="32"/>
        </w:rPr>
        <w:lastRenderedPageBreak/>
        <w:t>物流成本较高。随着矿泉水产量的不断增长，运力问题将成为矿泉水产业发展的瓶颈问题。</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科技力量支撑不足。</w:t>
      </w:r>
      <w:r>
        <w:rPr>
          <w:rFonts w:ascii="Times New Roman" w:eastAsia="仿宋_GB2312" w:hAnsi="Times New Roman" w:cs="Times New Roman"/>
          <w:sz w:val="32"/>
          <w:szCs w:val="32"/>
        </w:rPr>
        <w:t>高档次、高附加值产品不多，市场开拓能力与抗风险能力低，产品科技含量不高。矿泉资源开发没有核心技术，产品难以提高技术含量，产品附加值不高，还局限于低端饮品，在养生、美容方面的高端产品开发力度不足，与矿泉水有关的辅助产品加工、销售、研发等行业少，矿泉水开发产业链尚未展开，对县域经济总体牵动作用不够明显，支柱产业地位还远未形成，缺乏产业升级和可持续发展能力。</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宣传营销力度不够。</w:t>
      </w:r>
      <w:r>
        <w:rPr>
          <w:rFonts w:ascii="Times New Roman" w:eastAsia="仿宋_GB2312" w:hAnsi="Times New Roman" w:cs="Times New Roman"/>
          <w:sz w:val="32"/>
          <w:szCs w:val="32"/>
        </w:rPr>
        <w:t>除长白山四海尽知外，抚松县矿泉、人参、苗木、野生药材、山野菜、蓝莓、蜂蜜等特产资源丰富，但宣传力度不足以扬名国内。消费者尤其对天然优质矿泉认知度相对较低。抚松县矿泉水水量丰富，水质优良，矿泉水类型齐全，总体口味和质量已通过世界水权威鉴定机构检测鉴定，但是消费者对抚松矿泉水的认知度、辨别度和信任度不高。</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49" w:name="_Toc13751"/>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发展战略</w:t>
      </w:r>
      <w:bookmarkEnd w:id="49"/>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贯彻高质量发展战略。</w:t>
      </w:r>
      <w:r>
        <w:rPr>
          <w:rFonts w:ascii="Times New Roman" w:eastAsia="仿宋_GB2312" w:hAnsi="Times New Roman" w:cs="Times New Roman"/>
          <w:sz w:val="32"/>
          <w:szCs w:val="32"/>
        </w:rPr>
        <w:t>发展生态经济是深入贯彻落实习近平生态文明思想，推动人与自然和谐共生、形成绿色生产生活方式的必然要求和实际行动，是完整准确全面贯彻新发</w:t>
      </w:r>
      <w:r>
        <w:rPr>
          <w:rFonts w:ascii="Times New Roman" w:eastAsia="仿宋_GB2312" w:hAnsi="Times New Roman" w:cs="Times New Roman"/>
          <w:sz w:val="32"/>
          <w:szCs w:val="32"/>
        </w:rPr>
        <w:lastRenderedPageBreak/>
        <w:t>展理念，服从和服务于党和国家大局的重大行动和重要抓手，也是抚松县经济社会高质量发展的现实选择。</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践行</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两山</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行动战略。</w:t>
      </w:r>
      <w:r>
        <w:rPr>
          <w:rFonts w:ascii="Times New Roman" w:eastAsia="仿宋_GB2312" w:hAnsi="Times New Roman" w:cs="Times New Roman"/>
          <w:sz w:val="32"/>
          <w:szCs w:val="32"/>
        </w:rPr>
        <w:t>深刻把握绿水青山就是金山银山、冰天雪地也是金山银山的理论精髓，坚持开发与保护两手抓，科学统筹资源集约利用，在保护中推进生态价值得以实现，不断实现绿水青山、冰天雪地的市场价值，构建现代生态经济体系，形成经济、社会、生态三者之间的良性循环。</w:t>
      </w:r>
    </w:p>
    <w:p w:rsidR="00B9739B" w:rsidRDefault="00B24D01">
      <w:pPr>
        <w:spacing w:line="360" w:lineRule="auto"/>
        <w:ind w:firstLineChars="200" w:firstLine="643"/>
        <w:jc w:val="left"/>
        <w:outlineLvl w:val="0"/>
        <w:rPr>
          <w:rFonts w:ascii="Times New Roman" w:eastAsia="仿宋_GB2312" w:hAnsi="Times New Roman" w:cs="Times New Roman"/>
          <w:sz w:val="32"/>
          <w:szCs w:val="32"/>
        </w:rPr>
      </w:pPr>
      <w:bookmarkStart w:id="50" w:name="_Toc25227"/>
      <w:r>
        <w:rPr>
          <w:rFonts w:ascii="Times New Roman" w:eastAsia="仿宋_GB2312" w:hAnsi="Times New Roman" w:cs="Times New Roman"/>
          <w:b/>
          <w:bCs/>
          <w:sz w:val="32"/>
          <w:szCs w:val="32"/>
        </w:rPr>
        <w:t>践行生态高地战略。</w:t>
      </w:r>
      <w:r>
        <w:rPr>
          <w:rFonts w:ascii="Times New Roman" w:eastAsia="仿宋_GB2312" w:hAnsi="Times New Roman" w:cs="Times New Roman"/>
          <w:sz w:val="32"/>
          <w:szCs w:val="32"/>
        </w:rPr>
        <w:t>立足抚松先生态产业发展特点，突出生态产业的特色和优势，发展生态经济，是筑牢国家生态安全屏障、全面建成小康社会、建设社会主义现代化新征程的必然选择，也是确保抚松县生态文明建设各项工作精准落地，不断巩固入列国家生态文明建设示范区、国家全域旅游示范区创建成果、推进全国乃至国际生态文明高地建设的重要战略抉择。</w:t>
      </w:r>
    </w:p>
    <w:p w:rsidR="00B9739B" w:rsidRDefault="00B24D01">
      <w:pPr>
        <w:spacing w:line="360" w:lineRule="auto"/>
        <w:jc w:val="center"/>
        <w:outlineLvl w:val="0"/>
        <w:rPr>
          <w:rFonts w:ascii="Times New Roman" w:eastAsia="黑体" w:hAnsi="Times New Roman" w:cs="Times New Roman"/>
          <w:bCs/>
          <w:sz w:val="32"/>
          <w:szCs w:val="32"/>
        </w:rPr>
      </w:pPr>
      <w:r>
        <w:rPr>
          <w:rFonts w:ascii="Times New Roman" w:eastAsia="仿宋_GB2312" w:hAnsi="Times New Roman" w:cs="Times New Roman"/>
          <w:sz w:val="32"/>
          <w:szCs w:val="32"/>
        </w:rPr>
        <w:br w:type="page"/>
      </w:r>
      <w:r>
        <w:rPr>
          <w:rFonts w:ascii="Times New Roman" w:eastAsia="黑体" w:hAnsi="Times New Roman" w:cs="Times New Roman"/>
          <w:bCs/>
          <w:sz w:val="36"/>
          <w:szCs w:val="36"/>
        </w:rPr>
        <w:lastRenderedPageBreak/>
        <w:t>第二章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总体要求</w:t>
      </w:r>
      <w:bookmarkEnd w:id="50"/>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51" w:name="_Toc16586"/>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指导思想</w:t>
      </w:r>
      <w:bookmarkEnd w:id="5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w:t>
      </w:r>
      <w:r w:rsidR="008A4D01">
        <w:rPr>
          <w:rFonts w:ascii="Times New Roman" w:eastAsia="仿宋_GB2312" w:hAnsi="Times New Roman" w:cs="Times New Roman"/>
          <w:sz w:val="32"/>
          <w:szCs w:val="32"/>
        </w:rPr>
        <w:t>党的二十大精神</w:t>
      </w:r>
      <w:r>
        <w:rPr>
          <w:rFonts w:ascii="Times New Roman" w:eastAsia="仿宋_GB2312" w:hAnsi="Times New Roman" w:cs="Times New Roman"/>
          <w:sz w:val="32"/>
          <w:szCs w:val="32"/>
        </w:rPr>
        <w:t>及习近平总书记考察吉林时的重要讲话，精准对接吉林省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一主六双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高质量发展战略，积极融入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一山两江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品牌战略、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一体两翼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发展格局，以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一区三城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建设为统领，高标准高质量打造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全力打造绿色发展新高地，着力解决抚松生态产业发展中的深层次问题。把生态环境保护作为生态经济发展的基本前提和刚性约束，以生态产业化和产业生态化为目标，坚持以人为本与环境优先原则，以改善人居环境质量为核心，坚持污染防治与生态保护并重，紧紧抓住抚松县入列国家生态文明建设示范区，国家全域旅游示范区机遇，倾力推动生态产业发展工作，促进全县生态产业良性循环。加快生态产业结构调整，以优势资源开发为主线，着力培植旅游、矿泉水产业，巩固提高中医药、山区特产业，积极培育农民经济合作组织，加快发展第三产业，形成节约资源和保护环境的空间格局、产业结构、生产方式、生活方式，坚定走生产发展、生活富裕、生态良好的文明发展道路，实现绿色发展崛起，加快建设经济发展、山川秀美、人民幸福、社会和谐的幸福美好新抚松。</w:t>
      </w:r>
    </w:p>
    <w:p w:rsidR="00B9739B" w:rsidRDefault="00B24D01" w:rsidP="00BC2915">
      <w:pPr>
        <w:spacing w:afterLines="100" w:line="360" w:lineRule="auto"/>
        <w:ind w:firstLineChars="200" w:firstLine="640"/>
        <w:jc w:val="center"/>
        <w:outlineLvl w:val="1"/>
        <w:rPr>
          <w:rFonts w:ascii="Times New Roman" w:eastAsia="楷体" w:hAnsi="Times New Roman" w:cs="Times New Roman"/>
          <w:sz w:val="32"/>
          <w:szCs w:val="32"/>
        </w:rPr>
      </w:pPr>
      <w:r>
        <w:rPr>
          <w:rFonts w:ascii="Times New Roman" w:eastAsia="仿宋_GB2312" w:hAnsi="Times New Roman" w:cs="Times New Roman"/>
          <w:sz w:val="32"/>
          <w:szCs w:val="32"/>
        </w:rPr>
        <w:br w:type="page"/>
      </w:r>
      <w:bookmarkStart w:id="52" w:name="_Toc20553"/>
      <w:r>
        <w:rPr>
          <w:rFonts w:ascii="Times New Roman" w:eastAsia="楷体" w:hAnsi="Times New Roman" w:cs="Times New Roman"/>
          <w:b/>
          <w:sz w:val="32"/>
          <w:szCs w:val="32"/>
        </w:rPr>
        <w:lastRenderedPageBreak/>
        <w:t>第二节</w:t>
      </w:r>
      <w:r>
        <w:rPr>
          <w:rFonts w:ascii="Times New Roman" w:eastAsia="楷体" w:hAnsi="Times New Roman" w:cs="Times New Roman"/>
          <w:b/>
          <w:sz w:val="32"/>
          <w:szCs w:val="32"/>
        </w:rPr>
        <w:t xml:space="preserve">  </w:t>
      </w:r>
      <w:r>
        <w:rPr>
          <w:rFonts w:ascii="Times New Roman" w:eastAsia="楷体" w:hAnsi="Times New Roman" w:cs="Times New Roman"/>
          <w:b/>
          <w:sz w:val="32"/>
          <w:szCs w:val="32"/>
        </w:rPr>
        <w:t>基本原则</w:t>
      </w:r>
      <w:bookmarkEnd w:id="52"/>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政府引导，企业主体。</w:t>
      </w:r>
      <w:r>
        <w:rPr>
          <w:rFonts w:ascii="Times New Roman" w:eastAsia="仿宋_GB2312" w:hAnsi="Times New Roman" w:cs="Times New Roman"/>
          <w:sz w:val="32"/>
          <w:szCs w:val="32"/>
        </w:rPr>
        <w:t>进一步健全生态产业推进机制，强化顶层设计，进一步完善扶持政策，制定推进措施，加快供需对接，加快释放市场需求潜力。进一步强化政府引导和行业自律，加强市场监管，促进生态产业健康良性快速发展。</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龙头引领，集聚发展</w:t>
      </w:r>
      <w:r>
        <w:rPr>
          <w:rFonts w:ascii="Times New Roman" w:eastAsia="仿宋_GB2312" w:hAnsi="Times New Roman" w:cs="Times New Roman"/>
          <w:sz w:val="32"/>
          <w:szCs w:val="32"/>
        </w:rPr>
        <w:t>。加快龙头企业培育工程进程。积极整合现有资源、强化要素保障，招引和打造技术服务水平高、市场竞争力强、经济效益好的龙头企业。继续加快推动产业集聚发展，倾力打造一批矿泉、人参、中药等特色生态产业集群、产业基地和产业园区，不断提高我县生态产业整体竞争力。</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科技支撑，创新驱动</w:t>
      </w:r>
      <w:r>
        <w:rPr>
          <w:rFonts w:ascii="Times New Roman" w:eastAsia="仿宋_GB2312" w:hAnsi="Times New Roman" w:cs="Times New Roman"/>
          <w:sz w:val="32"/>
          <w:szCs w:val="32"/>
        </w:rPr>
        <w:t>。加快推进科技体制机制创新，打造生态环境保护科技创新高地。坚持市场需求导向，实施补链强链延链工程。引导龙头企业与院校合作组成创新联盟，解决单一矿泉水生产向保健型养生型多种类矿泉产业发展的技术攻关问题，并推动科技成果转化推广，形成抚松县独有的生态产业链和核心竞争力。</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生态优先，绿色发展</w:t>
      </w:r>
      <w:r>
        <w:rPr>
          <w:rFonts w:ascii="Times New Roman" w:eastAsia="仿宋_GB2312" w:hAnsi="Times New Roman" w:cs="Times New Roman"/>
          <w:sz w:val="32"/>
          <w:szCs w:val="32"/>
        </w:rPr>
        <w:t>。坚持经济社会发展与资源环境承载能力相适应原则，尊重自然、顺应自然、保护自然。继续坚持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改善生态环境就是发展生产力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理念不动摇；坚决守住生态保护红线、环境质量底线、资源利用上线不动摇；继续抓好生态环境准入清单标准不放松，夯实生态经济发展绿色</w:t>
      </w:r>
      <w:r>
        <w:rPr>
          <w:rFonts w:ascii="Times New Roman" w:eastAsia="仿宋_GB2312" w:hAnsi="Times New Roman" w:cs="Times New Roman"/>
          <w:sz w:val="32"/>
          <w:szCs w:val="32"/>
        </w:rPr>
        <w:lastRenderedPageBreak/>
        <w:t>基底，让良好生态环境成为生态经济发展的重要支撑。</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资源节约，高效利用。</w:t>
      </w:r>
      <w:r>
        <w:rPr>
          <w:rFonts w:ascii="Times New Roman" w:eastAsia="仿宋_GB2312" w:hAnsi="Times New Roman" w:cs="Times New Roman"/>
          <w:sz w:val="32"/>
          <w:szCs w:val="32"/>
        </w:rPr>
        <w:t>进一步倡导全民珍惜资源，爱护环境。强化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绿色旋律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理念入家入校入社区入企业入政府。培育全民共享和分享理念</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改变传统生产生活消费方式，促进资源有效保护、合理配置、高效循环利用，以尽可能少的资源消耗获得最大的经济效益和社会效益。</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统筹谋划，因地制宜。</w:t>
      </w:r>
      <w:r>
        <w:rPr>
          <w:rFonts w:ascii="Times New Roman" w:eastAsia="仿宋_GB2312" w:hAnsi="Times New Roman" w:cs="Times New Roman"/>
          <w:sz w:val="32"/>
          <w:szCs w:val="32"/>
        </w:rPr>
        <w:t>以生态保护和经济高质量发展的实际需求和地区发展差异为指引，树立大生态产业观念，因地制宜、因需施策，坚持有所为、有所不为，积极探索生态产业化和产业生态化发展路径，引导区域分工协作和联动发展。</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完善机制，注重长效。</w:t>
      </w:r>
      <w:r>
        <w:rPr>
          <w:rFonts w:ascii="Times New Roman" w:eastAsia="仿宋_GB2312" w:hAnsi="Times New Roman" w:cs="Times New Roman"/>
          <w:sz w:val="32"/>
          <w:szCs w:val="32"/>
        </w:rPr>
        <w:t>加快推进多元化生态补偿、自然资源资产产权、特许经营政策、产业发展政策、绿色金融政策等方面体制机制建设，统筹推进产业转型升级绿色发展。持续激发生态经济发展动力与活力，为生态经济高质量发展提供可靠保障。</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53" w:name="_Toc62651877"/>
      <w:bookmarkStart w:id="54" w:name="_Toc57880672"/>
      <w:bookmarkStart w:id="55" w:name="_Toc22979"/>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发展定位</w:t>
      </w:r>
      <w:bookmarkEnd w:id="53"/>
      <w:bookmarkEnd w:id="54"/>
      <w:bookmarkEnd w:id="55"/>
    </w:p>
    <w:p w:rsidR="00B9739B" w:rsidRDefault="00B24D01">
      <w:pPr>
        <w:spacing w:line="360" w:lineRule="auto"/>
        <w:ind w:firstLineChars="200" w:firstLine="640"/>
        <w:rPr>
          <w:rFonts w:ascii="Times New Roman" w:eastAsia="仿宋_GB2312" w:hAnsi="Times New Roman" w:cs="Times New Roman"/>
          <w:sz w:val="32"/>
          <w:szCs w:val="32"/>
        </w:rPr>
      </w:pPr>
      <w:bookmarkStart w:id="56" w:name="_Toc57880673"/>
      <w:r>
        <w:rPr>
          <w:rFonts w:ascii="Times New Roman" w:eastAsia="仿宋_GB2312" w:hAnsi="Times New Roman" w:cs="Times New Roman"/>
          <w:sz w:val="32"/>
          <w:szCs w:val="32"/>
        </w:rPr>
        <w:t>以建设践行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理念试验区先行区为目标，加快生态产业结构调整，在集群发展、龙头培育、技术创新、产业支撑等方面实现更高水平更高质量发展。壮大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三个经济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（即会展经济、网红经济、赛事经济），打造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三城一都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（即世</w:t>
      </w:r>
      <w:r>
        <w:rPr>
          <w:rFonts w:ascii="Times New Roman" w:eastAsia="仿宋_GB2312" w:hAnsi="Times New Roman" w:cs="Times New Roman"/>
          <w:sz w:val="32"/>
          <w:szCs w:val="32"/>
        </w:rPr>
        <w:lastRenderedPageBreak/>
        <w:t>界矿泉水名城、世界人参名城、国际旅游名城、世界中医药之都），努力在中国式现代化进程中推动抚松绿色转型高质量发展全面振兴实现新突破。</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57" w:name="_Toc14806"/>
      <w:bookmarkStart w:id="58" w:name="_Toc5061"/>
      <w:bookmarkStart w:id="59" w:name="_Toc30320"/>
      <w:bookmarkEnd w:id="56"/>
      <w:r>
        <w:rPr>
          <w:rFonts w:ascii="Times New Roman" w:eastAsia="仿宋_GB2312" w:hAnsi="Times New Roman" w:cs="Times New Roman"/>
          <w:b/>
          <w:bCs/>
          <w:sz w:val="32"/>
          <w:szCs w:val="32"/>
        </w:rPr>
        <w:t>一、继续推进国家生态文明示范区建设</w:t>
      </w:r>
      <w:bookmarkEnd w:id="57"/>
      <w:bookmarkEnd w:id="58"/>
      <w:bookmarkEnd w:id="5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牢固树立和践行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绿水青山就是金山银山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的理念，巩固拓展两山实践创新基地成果，以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一区三城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建设为载体，充分发挥国家重点生态功能区的主体功能，精心构建具有抚松特色的生态经济体系和生态安全格局，不断提高生态产品的生产和供给能力，倡导绿色生产生活方式，提高全社会的生态文明素质</w:t>
      </w:r>
      <w:bookmarkStart w:id="60" w:name="_Toc57880674"/>
      <w:bookmarkStart w:id="61" w:name="_Toc62651879"/>
      <w:r>
        <w:rPr>
          <w:rFonts w:ascii="Times New Roman" w:eastAsia="仿宋_GB2312" w:hAnsi="Times New Roman" w:cs="Times New Roman"/>
          <w:sz w:val="32"/>
          <w:szCs w:val="32"/>
        </w:rPr>
        <w:t>，实现国家生态文明示范区建设长久化、稳固化。</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62" w:name="_Toc1380"/>
      <w:bookmarkStart w:id="63" w:name="_Toc3840"/>
      <w:bookmarkStart w:id="64" w:name="_Toc101"/>
      <w:bookmarkStart w:id="65" w:name="_Hlk53492102"/>
      <w:bookmarkEnd w:id="60"/>
      <w:bookmarkEnd w:id="61"/>
      <w:r>
        <w:rPr>
          <w:rFonts w:ascii="Times New Roman" w:eastAsia="仿宋_GB2312" w:hAnsi="Times New Roman" w:cs="Times New Roman"/>
          <w:b/>
          <w:bCs/>
          <w:sz w:val="32"/>
          <w:szCs w:val="32"/>
        </w:rPr>
        <w:t>二、全力打造国家全域旅游发展示范区形象</w:t>
      </w:r>
      <w:bookmarkEnd w:id="62"/>
      <w:bookmarkEnd w:id="63"/>
      <w:bookmarkEnd w:id="64"/>
    </w:p>
    <w:p w:rsidR="00B9739B" w:rsidRDefault="00B24D01">
      <w:pPr>
        <w:spacing w:line="360" w:lineRule="auto"/>
        <w:ind w:firstLineChars="200" w:firstLine="640"/>
        <w:rPr>
          <w:rFonts w:ascii="Times New Roman" w:eastAsia="仿宋_GB2312" w:hAnsi="Times New Roman" w:cs="Times New Roman"/>
          <w:sz w:val="32"/>
          <w:szCs w:val="32"/>
        </w:rPr>
      </w:pPr>
      <w:bookmarkStart w:id="66" w:name="_Hlk53492140"/>
      <w:bookmarkEnd w:id="65"/>
      <w:r>
        <w:rPr>
          <w:rFonts w:ascii="Times New Roman" w:eastAsia="仿宋_GB2312" w:hAnsi="Times New Roman" w:cs="Times New Roman"/>
          <w:sz w:val="32"/>
          <w:szCs w:val="32"/>
        </w:rPr>
        <w:t>加大宣传力度，特色文旅结合，依托县域内高铁、高速、航空等立体交通便利优势，紧紧抓住疫情后旅游消费井喷式大好时机，大力发展以长白山生态为核心，以康养休闲为特色，集生态、民俗、工业、农业、冰雪、健康、研学等为一体的全域旅游，优化旅游线路，开发特色旅游产品，加强营销策划，开拓国际客源市场，打造国际旅游名城，建设成为大长白山旅游圈的核心。</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67" w:name="_Toc28293"/>
      <w:bookmarkStart w:id="68" w:name="_Toc12314"/>
      <w:bookmarkStart w:id="69" w:name="_Toc11130"/>
      <w:bookmarkStart w:id="70" w:name="_Hlk53492205"/>
      <w:bookmarkEnd w:id="66"/>
      <w:r>
        <w:rPr>
          <w:rFonts w:ascii="Times New Roman" w:eastAsia="仿宋_GB2312" w:hAnsi="Times New Roman" w:cs="Times New Roman"/>
          <w:b/>
          <w:bCs/>
          <w:sz w:val="32"/>
          <w:szCs w:val="32"/>
        </w:rPr>
        <w:t>三、加快推进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两山</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实践基地样板区建设</w:t>
      </w:r>
      <w:bookmarkEnd w:id="67"/>
      <w:bookmarkEnd w:id="68"/>
      <w:bookmarkEnd w:id="6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理论，狠抓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实践基地样板区建设不放松。积极融入东北东部绿色经济带和吉林省东部绿色转型发展区总体格局，全力推进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一区三城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建设，把抚松县建设成</w:t>
      </w:r>
      <w:r>
        <w:rPr>
          <w:rFonts w:ascii="Times New Roman" w:eastAsia="仿宋_GB2312" w:hAnsi="Times New Roman" w:cs="Times New Roman"/>
          <w:sz w:val="32"/>
          <w:szCs w:val="32"/>
        </w:rPr>
        <w:lastRenderedPageBreak/>
        <w:t>为森林茂密、山川秀美、天蓝水清、生物多样的生态画卷，成为天然有机、绿色健康、山珍美味、医疗保健、避暑养生的大健康产业基地。以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人参之乡、上游抚松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的形象为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实践创新基地建设提供重要支撑。</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71" w:name="_Toc12642"/>
      <w:bookmarkEnd w:id="70"/>
      <w:r>
        <w:rPr>
          <w:rFonts w:ascii="Times New Roman" w:eastAsia="楷体" w:hAnsi="Times New Roman" w:cs="Times New Roman"/>
          <w:szCs w:val="32"/>
        </w:rPr>
        <w:t>第四节</w:t>
      </w:r>
      <w:r>
        <w:rPr>
          <w:rFonts w:ascii="Times New Roman" w:eastAsia="楷体" w:hAnsi="Times New Roman" w:cs="Times New Roman"/>
          <w:szCs w:val="32"/>
        </w:rPr>
        <w:t xml:space="preserve">  </w:t>
      </w:r>
      <w:r>
        <w:rPr>
          <w:rFonts w:ascii="Times New Roman" w:eastAsia="楷体" w:hAnsi="Times New Roman" w:cs="Times New Roman"/>
          <w:szCs w:val="32"/>
        </w:rPr>
        <w:t>发展目标</w:t>
      </w:r>
      <w:bookmarkEnd w:id="71"/>
    </w:p>
    <w:p w:rsidR="00B9739B" w:rsidRDefault="00B24D01">
      <w:pPr>
        <w:spacing w:line="360" w:lineRule="auto"/>
        <w:ind w:firstLineChars="200" w:firstLine="643"/>
        <w:rPr>
          <w:rFonts w:ascii="Times New Roman" w:hAnsi="Times New Roman" w:cs="Times New Roman"/>
        </w:rPr>
      </w:pPr>
      <w:bookmarkStart w:id="72" w:name="_Toc20649"/>
      <w:bookmarkStart w:id="73" w:name="_Toc29845"/>
      <w:r>
        <w:rPr>
          <w:rFonts w:ascii="Times New Roman" w:eastAsia="仿宋_GB2312" w:hAnsi="Times New Roman" w:cs="Times New Roman"/>
          <w:b/>
          <w:bCs/>
          <w:sz w:val="32"/>
          <w:szCs w:val="32"/>
        </w:rPr>
        <w:t>一、总体目标</w:t>
      </w:r>
      <w:bookmarkEnd w:id="72"/>
      <w:bookmarkEnd w:id="7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抚松县委县政府深入践行</w:t>
      </w:r>
      <w:r w:rsidR="008A4D01">
        <w:rPr>
          <w:rFonts w:ascii="Times New Roman" w:eastAsia="仿宋_GB2312" w:hAnsi="Times New Roman" w:cs="Times New Roman"/>
          <w:sz w:val="32"/>
          <w:szCs w:val="32"/>
        </w:rPr>
        <w:t>习近平生态文明思想</w:t>
      </w:r>
      <w:r>
        <w:rPr>
          <w:rFonts w:ascii="Times New Roman" w:eastAsia="仿宋_GB2312" w:hAnsi="Times New Roman" w:cs="Times New Roman"/>
          <w:sz w:val="32"/>
          <w:szCs w:val="32"/>
        </w:rPr>
        <w:t>，扎实推进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生态强县、产业兴县、特色富县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白雪变白银，资源换资产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价值转换理念，带领全县人民围绕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倡导生态文明、建设宜居环境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这一主题，在集群发展、龙头培育、技术创新、产业支撑等方面实现更高水平更高质量发展。</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到</w:t>
      </w:r>
      <w:r>
        <w:rPr>
          <w:rFonts w:ascii="Times New Roman" w:eastAsia="仿宋_GB2312" w:hAnsi="Times New Roman" w:cs="Times New Roman"/>
          <w:b/>
          <w:bCs/>
          <w:sz w:val="32"/>
          <w:szCs w:val="32"/>
        </w:rPr>
        <w:t>2025</w:t>
      </w:r>
      <w:r>
        <w:rPr>
          <w:rFonts w:ascii="Times New Roman" w:eastAsia="仿宋_GB2312" w:hAnsi="Times New Roman" w:cs="Times New Roman"/>
          <w:b/>
          <w:bCs/>
          <w:sz w:val="32"/>
          <w:szCs w:val="32"/>
        </w:rPr>
        <w:t>年，国家生态安全屏障持续筑牢。</w:t>
      </w:r>
      <w:r>
        <w:rPr>
          <w:rFonts w:ascii="Times New Roman" w:eastAsia="仿宋_GB2312" w:hAnsi="Times New Roman" w:cs="Times New Roman"/>
          <w:sz w:val="32"/>
          <w:szCs w:val="32"/>
        </w:rPr>
        <w:t>生态经济集群初具规模，清洁安全、高效集约资源利用方式、绿色发展方式和消费方式基本形成，国家生态旅游目的地建设初见成效，绿色有机产品输出地打造取得明显成效，传统产业实现绿色升级，生态产业化、产业生态化转化通道有效构建，绿色发展新高地初步建成，具有抚松特色的生态经济体系基本构建。</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到</w:t>
      </w:r>
      <w:r>
        <w:rPr>
          <w:rFonts w:ascii="Times New Roman" w:eastAsia="仿宋_GB2312" w:hAnsi="Times New Roman" w:cs="Times New Roman"/>
          <w:b/>
          <w:bCs/>
          <w:sz w:val="32"/>
          <w:szCs w:val="32"/>
        </w:rPr>
        <w:t>2030</w:t>
      </w:r>
      <w:r>
        <w:rPr>
          <w:rFonts w:ascii="Times New Roman" w:eastAsia="仿宋_GB2312" w:hAnsi="Times New Roman" w:cs="Times New Roman"/>
          <w:b/>
          <w:bCs/>
          <w:sz w:val="32"/>
          <w:szCs w:val="32"/>
        </w:rPr>
        <w:t>年，国家生态安全屏障坚实稳固。</w:t>
      </w:r>
      <w:r>
        <w:rPr>
          <w:rFonts w:ascii="Times New Roman" w:eastAsia="仿宋_GB2312" w:hAnsi="Times New Roman" w:cs="Times New Roman"/>
          <w:sz w:val="32"/>
          <w:szCs w:val="32"/>
        </w:rPr>
        <w:t>生态经济集群规模效益凸显，清洁安全、高效集约的资源利用方式、绿色发展方式和消费方式全面形成，绿色发展新高地全面建成，</w:t>
      </w:r>
      <w:r>
        <w:rPr>
          <w:rFonts w:ascii="Times New Roman" w:eastAsia="仿宋_GB2312" w:hAnsi="Times New Roman" w:cs="Times New Roman"/>
          <w:sz w:val="32"/>
          <w:szCs w:val="32"/>
        </w:rPr>
        <w:lastRenderedPageBreak/>
        <w:t>具有抚松特色的生态经济体系全面构建。</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74" w:name="_Toc5179"/>
      <w:bookmarkStart w:id="75" w:name="_Toc32104"/>
      <w:r>
        <w:rPr>
          <w:rFonts w:ascii="Times New Roman" w:eastAsia="仿宋_GB2312" w:hAnsi="Times New Roman" w:cs="Times New Roman"/>
          <w:b/>
          <w:bCs/>
          <w:sz w:val="32"/>
          <w:szCs w:val="32"/>
        </w:rPr>
        <w:t>二、具体目标</w:t>
      </w:r>
      <w:bookmarkEnd w:id="74"/>
      <w:bookmarkEnd w:id="75"/>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践行</w:t>
      </w:r>
      <w:r w:rsidR="008A4D01">
        <w:rPr>
          <w:rFonts w:ascii="Times New Roman" w:eastAsia="仿宋_GB2312" w:hAnsi="Times New Roman" w:cs="Times New Roman"/>
          <w:sz w:val="32"/>
          <w:szCs w:val="32"/>
        </w:rPr>
        <w:t>习近平生态文明思想</w:t>
      </w:r>
      <w:r>
        <w:rPr>
          <w:rFonts w:ascii="Times New Roman" w:eastAsia="仿宋_GB2312" w:hAnsi="Times New Roman" w:cs="Times New Roman"/>
          <w:sz w:val="32"/>
          <w:szCs w:val="32"/>
        </w:rPr>
        <w:t>，将生态文明建设融入经济社会发展全过程、各方面，推动绿色发展，促进人与自然和谐共生。坚持以建设践行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理念试验区先行区为目标，积极推动大长白山区域一体化发展。按照白山市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长白山保护开发区协同发展工作要求，充分发挥先行区引领示范作用，统筹推进中、南、北三大生态经济区建设。</w:t>
      </w:r>
    </w:p>
    <w:p w:rsidR="00B9739B" w:rsidRDefault="00B24D01">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（一）坚持以生态环境战略为支撑，推进农林绿色发展齐头并进</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不断增强林业生态产业承载能力。</w:t>
      </w:r>
      <w:r>
        <w:rPr>
          <w:rFonts w:ascii="Times New Roman" w:eastAsia="仿宋_GB2312" w:hAnsi="Times New Roman" w:cs="Times New Roman"/>
          <w:sz w:val="32"/>
          <w:szCs w:val="32"/>
        </w:rPr>
        <w:t>提升林业引领绿色发展能力，提升林业推进民生改善能力。森林总量和质量同步增长。完成人工造林</w:t>
      </w:r>
      <w:r>
        <w:rPr>
          <w:rFonts w:ascii="Times New Roman" w:eastAsia="仿宋_GB2312" w:hAnsi="Times New Roman" w:cs="Times New Roman"/>
          <w:sz w:val="32"/>
          <w:szCs w:val="32"/>
        </w:rPr>
        <w:t>1745</w:t>
      </w:r>
      <w:r>
        <w:rPr>
          <w:rFonts w:ascii="Times New Roman" w:eastAsia="仿宋_GB2312" w:hAnsi="Times New Roman" w:cs="Times New Roman"/>
          <w:sz w:val="32"/>
          <w:szCs w:val="32"/>
        </w:rPr>
        <w:t>公顷、森林抚育</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公顷。截止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年末，森林面积达到</w:t>
      </w:r>
      <w:r>
        <w:rPr>
          <w:rFonts w:ascii="Times New Roman" w:eastAsia="仿宋_GB2312" w:hAnsi="Times New Roman" w:cs="Times New Roman"/>
          <w:sz w:val="32"/>
          <w:szCs w:val="32"/>
        </w:rPr>
        <w:t>54000</w:t>
      </w:r>
      <w:r>
        <w:rPr>
          <w:rFonts w:ascii="Times New Roman" w:eastAsia="仿宋_GB2312" w:hAnsi="Times New Roman" w:cs="Times New Roman"/>
          <w:sz w:val="32"/>
          <w:szCs w:val="32"/>
        </w:rPr>
        <w:t>公顷、森林覆盖率达到</w:t>
      </w:r>
      <w:r>
        <w:rPr>
          <w:rFonts w:ascii="Times New Roman" w:eastAsia="仿宋_GB2312" w:hAnsi="Times New Roman" w:cs="Times New Roman"/>
          <w:sz w:val="32"/>
          <w:szCs w:val="32"/>
        </w:rPr>
        <w:t>51.8%</w:t>
      </w:r>
      <w:r>
        <w:rPr>
          <w:rFonts w:ascii="Times New Roman" w:eastAsia="仿宋_GB2312" w:hAnsi="Times New Roman" w:cs="Times New Roman"/>
          <w:sz w:val="32"/>
          <w:szCs w:val="32"/>
        </w:rPr>
        <w:t>，森林总蓄积达到</w:t>
      </w:r>
      <w:r>
        <w:rPr>
          <w:rFonts w:ascii="Times New Roman" w:eastAsia="仿宋_GB2312" w:hAnsi="Times New Roman" w:cs="Times New Roman"/>
          <w:sz w:val="32"/>
          <w:szCs w:val="32"/>
        </w:rPr>
        <w:t>558</w:t>
      </w:r>
      <w:r>
        <w:rPr>
          <w:rFonts w:ascii="Times New Roman" w:eastAsia="仿宋_GB2312" w:hAnsi="Times New Roman" w:cs="Times New Roman"/>
          <w:sz w:val="32"/>
          <w:szCs w:val="32"/>
        </w:rPr>
        <w:t>万立方米。加大中幼龄林抚育力度，重点加强幼龄林抚育，优化林分结构。到</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年，完成森林抚育</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公顷。</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逐步提升城乡绿化美化整体水平。</w:t>
      </w:r>
      <w:r>
        <w:rPr>
          <w:rFonts w:ascii="Times New Roman" w:eastAsia="仿宋_GB2312" w:hAnsi="Times New Roman" w:cs="Times New Roman"/>
          <w:sz w:val="32"/>
          <w:szCs w:val="32"/>
        </w:rPr>
        <w:t>以提高城乡绿化水平为目标，逐步改善人居环境，提高整体绿化水平。拟新增城镇绿地</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公顷，提质完善</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公顷。以改善农村环境面貌为中心，以四旁绿化为主攻方向，绿化美化村屯</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个，完善提高</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个。加强绿色通道建设，绿化公路</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公里，完善提</w:t>
      </w:r>
      <w:r>
        <w:rPr>
          <w:rFonts w:ascii="Times New Roman" w:eastAsia="仿宋_GB2312" w:hAnsi="Times New Roman" w:cs="Times New Roman"/>
          <w:sz w:val="32"/>
          <w:szCs w:val="32"/>
        </w:rPr>
        <w:lastRenderedPageBreak/>
        <w:t>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公里；绿化江河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公里，完善提高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公里。深入开展全民义务植树活动，全县义务植树</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万株，建设义务植树基地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全面实施乡村和美建设行动开展。</w:t>
      </w:r>
      <w:r>
        <w:rPr>
          <w:rFonts w:ascii="Times New Roman" w:eastAsia="仿宋_GB2312" w:hAnsi="Times New Roman" w:cs="Times New Roman"/>
          <w:sz w:val="32"/>
          <w:szCs w:val="32"/>
        </w:rPr>
        <w:t>完善水电路讯等基础设施管护长效机制，加快实施农村供水老旧管网改造、道路硬化等基础设施项目。深入开展村庄环境清洁美化，严格落实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九有六无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创建标准，高质量推进</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千村示范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村创建工作，打造宜居宜业美丽乡村。深入推动重点边境村三年建设行动，加强与中青旅、省旅投合作交流，推进旅游、研学、康养等产业深度融合，促进村庄人口集聚提升，全面打造全省边境乡村旅游样板。</w:t>
      </w:r>
    </w:p>
    <w:p w:rsidR="00B9739B" w:rsidRDefault="00B24D01">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（二）坚持以践行</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两山</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理念为目标，推进三大生态经济区快速发展</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围绕中部生态经济区建设，全力打造生态经济核心区。</w:t>
      </w:r>
      <w:r>
        <w:rPr>
          <w:rFonts w:ascii="Times New Roman" w:eastAsia="仿宋_GB2312" w:hAnsi="Times New Roman" w:cs="Times New Roman"/>
          <w:sz w:val="32"/>
          <w:szCs w:val="32"/>
        </w:rPr>
        <w:t>把握抚松县在中部生态经济区中的核心位置，加强与中部生态经济区所辖县区联动发展，积极融入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两区七基地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产业体系，围绕打造中国人参城和全域旅游发展目标，持续壮大人参医药健康、冰雪生态旅游、矿泉水、新材料和绿色食品等产业，着力破解区域发展关联度不高的瓶颈制约，在打造长白山生态经济核心区进程中贡献抚松力量。</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围绕南部生态经济区建设，丰富鸭绿江旅游产业链条。</w:t>
      </w:r>
      <w:r>
        <w:rPr>
          <w:rFonts w:ascii="Times New Roman" w:eastAsia="仿宋_GB2312" w:hAnsi="Times New Roman" w:cs="Times New Roman"/>
          <w:sz w:val="32"/>
          <w:szCs w:val="32"/>
        </w:rPr>
        <w:t>加强漫江镇与池南区协同联动，充分发挥鲁能胜地旅游度假</w:t>
      </w:r>
      <w:r>
        <w:rPr>
          <w:rFonts w:ascii="Times New Roman" w:eastAsia="仿宋_GB2312" w:hAnsi="Times New Roman" w:cs="Times New Roman"/>
          <w:sz w:val="32"/>
          <w:szCs w:val="32"/>
        </w:rPr>
        <w:lastRenderedPageBreak/>
        <w:t>区、讷殷古城、锦江木屋村等知名旅游目的地引领作用，着力打造以休闲康养、冰雪运动和边境风光为主题的文旅融合经济带，加快提升基础设施建设水平，深度挖掘红色文化、历史文化、民俗文化的文旅融合作用，持续提升民俗旅游体验，形成功能互补、产业配套的沿边旅游全产业链条。</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围绕北部生态经济区建设，释放松花江旅游经济带辐射效应。</w:t>
      </w:r>
      <w:r>
        <w:rPr>
          <w:rFonts w:ascii="Times New Roman" w:eastAsia="仿宋_GB2312" w:hAnsi="Times New Roman" w:cs="Times New Roman"/>
          <w:sz w:val="32"/>
          <w:szCs w:val="32"/>
        </w:rPr>
        <w:t>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一区五园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产业体系布局，加强与池北区协同联动，有效发挥松花江旅游经济带的串联带动作用，持续推动水上旅游、山地避暑和寒地冰雪产业提档升级，优化露水河镇、沿江乡、新屯子镇、兴参镇、抽水乡景区景点协同发展空间布局，全力打造具有长白山、松花江特色的旅游产业新标地。</w:t>
      </w:r>
    </w:p>
    <w:p w:rsidR="00B9739B" w:rsidRDefault="00B24D01">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（三）坚持以生态文明建设为根基，坚决筑牢区域生态安全屏障</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生态文明制度全面建立。</w:t>
      </w:r>
      <w:r>
        <w:rPr>
          <w:rFonts w:ascii="Times New Roman" w:eastAsia="仿宋_GB2312" w:hAnsi="Times New Roman" w:cs="Times New Roman"/>
          <w:sz w:val="32"/>
          <w:szCs w:val="32"/>
        </w:rPr>
        <w:t>加快探索生态环境损害赔偿制度，着力完善生态产品价值实现机制，推进各类资源节约集约利用。健全资源环境要素市场化配置体系，构建具有抚松特色的生态与经济良性互动的绿色发展方式。</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污防攻坚战有效实施。</w:t>
      </w:r>
      <w:r>
        <w:rPr>
          <w:rFonts w:ascii="Times New Roman" w:eastAsia="仿宋_GB2312" w:hAnsi="Times New Roman" w:cs="Times New Roman"/>
          <w:sz w:val="32"/>
          <w:szCs w:val="32"/>
        </w:rPr>
        <w:t>以改善生态环境质量为核心，精准治污，科学治污，依法治污，提高污染智力的针对性、科学性和有效性。重点管控工业污染、扬尘污染和秸秆焚烧。因地制宜开展水体内源污染治理和生态修复，强化土壤和涉</w:t>
      </w:r>
      <w:r>
        <w:rPr>
          <w:rFonts w:ascii="Times New Roman" w:eastAsia="仿宋_GB2312" w:hAnsi="Times New Roman" w:cs="Times New Roman"/>
          <w:sz w:val="32"/>
          <w:szCs w:val="32"/>
        </w:rPr>
        <w:lastRenderedPageBreak/>
        <w:t>重金属行业污染防控和修复能力。</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安全屏障全面筑牢。</w:t>
      </w:r>
      <w:r>
        <w:rPr>
          <w:rFonts w:ascii="Times New Roman" w:eastAsia="仿宋_GB2312" w:hAnsi="Times New Roman" w:cs="Times New Roman"/>
          <w:sz w:val="32"/>
          <w:szCs w:val="32"/>
        </w:rPr>
        <w:t>不断优化生态安全屏障体系。加强农村水源地保护，持续推进天然林保护工程，巩固提升长白山森林生态系统功能。建设以国家重点生态功能区、生态保护红线、自然保护地等为重点，重点推进长白山森林植被恢复、万里绿水长廊、水系连通及水美乡村建设等重大生态保护修复工程；加强长白山生物种质资源保护，提高对野生动植物栖息繁殖地保护的重视程度；全面提升长白山、松花江的生态恢复和保护治理能力。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年，推动空气优良天数比例保持在</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以上；到</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年达到</w:t>
      </w:r>
      <w:r>
        <w:rPr>
          <w:rFonts w:ascii="Times New Roman" w:eastAsia="仿宋_GB2312" w:hAnsi="Times New Roman" w:cs="Times New Roman"/>
          <w:sz w:val="32"/>
          <w:szCs w:val="32"/>
        </w:rPr>
        <w:t>97%</w:t>
      </w:r>
      <w:r>
        <w:rPr>
          <w:rFonts w:ascii="Times New Roman" w:eastAsia="仿宋_GB2312" w:hAnsi="Times New Roman" w:cs="Times New Roman"/>
          <w:sz w:val="32"/>
          <w:szCs w:val="32"/>
        </w:rPr>
        <w:t>以上。到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年主要河流出境断面水质达到优于二类水标准比例保持在</w:t>
      </w:r>
      <w:r>
        <w:rPr>
          <w:rFonts w:ascii="Times New Roman" w:eastAsia="仿宋_GB2312" w:hAnsi="Times New Roman" w:cs="Times New Roman"/>
          <w:sz w:val="32"/>
          <w:szCs w:val="32"/>
        </w:rPr>
        <w:t>96%</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年达到优于三类水标准比例保持在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B9739B" w:rsidRDefault="00B9739B">
      <w:pPr>
        <w:pStyle w:val="3"/>
        <w:rPr>
          <w:rFonts w:ascii="Times New Roman" w:hAnsi="Times New Roman" w:cs="Times New Roman"/>
        </w:rPr>
      </w:pPr>
    </w:p>
    <w:p w:rsidR="00B9739B" w:rsidRDefault="00B9739B">
      <w:pPr>
        <w:spacing w:line="360" w:lineRule="auto"/>
        <w:rPr>
          <w:rFonts w:ascii="Times New Roman" w:eastAsia="仿宋_GB2312" w:hAnsi="Times New Roman" w:cs="Times New Roman"/>
          <w:sz w:val="32"/>
          <w:szCs w:val="32"/>
        </w:rPr>
        <w:sectPr w:rsidR="00B9739B">
          <w:footerReference w:type="default" r:id="rId8"/>
          <w:pgSz w:w="11906" w:h="16838"/>
          <w:pgMar w:top="1440" w:right="1800" w:bottom="1440" w:left="1800" w:header="851" w:footer="992" w:gutter="0"/>
          <w:cols w:space="720"/>
          <w:docGrid w:type="lines" w:linePitch="312"/>
        </w:sectPr>
      </w:pPr>
      <w:bookmarkStart w:id="76" w:name="_Toc62651884"/>
    </w:p>
    <w:p w:rsidR="00B9739B" w:rsidRDefault="00B24D01">
      <w:pPr>
        <w:jc w:val="center"/>
        <w:rPr>
          <w:rFonts w:ascii="Times New Roman" w:hAnsi="Times New Roman" w:cs="Times New Roman"/>
          <w:b/>
          <w:bCs/>
          <w:sz w:val="28"/>
          <w:szCs w:val="28"/>
        </w:rPr>
      </w:pPr>
      <w:bookmarkStart w:id="77" w:name="_Toc6738"/>
      <w:bookmarkStart w:id="78" w:name="_Toc31393"/>
      <w:bookmarkStart w:id="79" w:name="_Toc28111"/>
      <w:bookmarkStart w:id="80" w:name="_Toc8786"/>
      <w:bookmarkStart w:id="81" w:name="_Toc13559"/>
      <w:r>
        <w:rPr>
          <w:rFonts w:ascii="Times New Roman" w:hAnsi="Times New Roman" w:cs="Times New Roman"/>
          <w:b/>
          <w:bCs/>
          <w:sz w:val="28"/>
          <w:szCs w:val="28"/>
        </w:rPr>
        <w:lastRenderedPageBreak/>
        <w:t>表</w:t>
      </w:r>
      <w:r>
        <w:rPr>
          <w:rFonts w:ascii="Times New Roman" w:hAnsi="Times New Roman" w:cs="Times New Roman"/>
          <w:b/>
          <w:bCs/>
          <w:sz w:val="28"/>
          <w:szCs w:val="28"/>
        </w:rPr>
        <w:t xml:space="preserve">1  </w:t>
      </w:r>
      <w:r>
        <w:rPr>
          <w:rFonts w:ascii="Times New Roman" w:hAnsi="Times New Roman" w:cs="Times New Roman"/>
          <w:b/>
          <w:bCs/>
          <w:sz w:val="28"/>
          <w:szCs w:val="28"/>
        </w:rPr>
        <w:t>抚松县生态产业发展指标表</w:t>
      </w:r>
      <w:bookmarkEnd w:id="77"/>
      <w:bookmarkEnd w:id="78"/>
      <w:bookmarkEnd w:id="79"/>
      <w:bookmarkEnd w:id="80"/>
      <w:bookmarkEnd w:id="81"/>
    </w:p>
    <w:tbl>
      <w:tblPr>
        <w:tblW w:w="8658" w:type="dxa"/>
        <w:jc w:val="center"/>
        <w:tblLayout w:type="fixed"/>
        <w:tblLook w:val="0000"/>
      </w:tblPr>
      <w:tblGrid>
        <w:gridCol w:w="708"/>
        <w:gridCol w:w="2374"/>
        <w:gridCol w:w="1247"/>
        <w:gridCol w:w="1443"/>
        <w:gridCol w:w="1443"/>
        <w:gridCol w:w="1443"/>
      </w:tblGrid>
      <w:tr w:rsidR="00B9739B">
        <w:trPr>
          <w:trHeight w:val="359"/>
          <w:jc w:val="center"/>
        </w:trPr>
        <w:tc>
          <w:tcPr>
            <w:tcW w:w="708" w:type="dxa"/>
            <w:tcBorders>
              <w:top w:val="single" w:sz="12"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b/>
                <w:bCs/>
                <w:szCs w:val="21"/>
              </w:rPr>
            </w:pPr>
            <w:r>
              <w:rPr>
                <w:rFonts w:ascii="Times New Roman" w:eastAsia="报宋" w:hAnsi="Times New Roman" w:cs="Times New Roman"/>
                <w:b/>
                <w:bCs/>
                <w:kern w:val="0"/>
                <w:szCs w:val="21"/>
              </w:rPr>
              <w:t>序号</w:t>
            </w:r>
          </w:p>
        </w:tc>
        <w:tc>
          <w:tcPr>
            <w:tcW w:w="2374" w:type="dxa"/>
            <w:tcBorders>
              <w:top w:val="single" w:sz="12"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b/>
                <w:bCs/>
                <w:szCs w:val="21"/>
              </w:rPr>
            </w:pPr>
            <w:r>
              <w:rPr>
                <w:rFonts w:ascii="Times New Roman" w:eastAsia="报宋" w:hAnsi="Times New Roman" w:cs="Times New Roman"/>
                <w:b/>
                <w:bCs/>
                <w:kern w:val="0"/>
                <w:szCs w:val="21"/>
              </w:rPr>
              <w:t>指</w:t>
            </w:r>
            <w:r>
              <w:rPr>
                <w:rFonts w:ascii="Times New Roman" w:eastAsia="报宋" w:hAnsi="Times New Roman" w:cs="Times New Roman"/>
                <w:b/>
                <w:bCs/>
                <w:kern w:val="0"/>
                <w:szCs w:val="21"/>
              </w:rPr>
              <w:t xml:space="preserve"> </w:t>
            </w:r>
            <w:r>
              <w:rPr>
                <w:rFonts w:ascii="Times New Roman" w:eastAsia="报宋" w:hAnsi="Times New Roman" w:cs="Times New Roman"/>
                <w:b/>
                <w:bCs/>
                <w:kern w:val="0"/>
                <w:szCs w:val="21"/>
              </w:rPr>
              <w:t>标</w:t>
            </w:r>
          </w:p>
        </w:tc>
        <w:tc>
          <w:tcPr>
            <w:tcW w:w="1247" w:type="dxa"/>
            <w:tcBorders>
              <w:top w:val="single" w:sz="12"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b/>
                <w:bCs/>
                <w:szCs w:val="21"/>
              </w:rPr>
            </w:pPr>
            <w:r>
              <w:rPr>
                <w:rFonts w:ascii="Times New Roman" w:eastAsia="报宋" w:hAnsi="Times New Roman" w:cs="Times New Roman"/>
                <w:b/>
                <w:bCs/>
                <w:kern w:val="0"/>
                <w:szCs w:val="21"/>
              </w:rPr>
              <w:t>单位</w:t>
            </w:r>
          </w:p>
        </w:tc>
        <w:tc>
          <w:tcPr>
            <w:tcW w:w="1443" w:type="dxa"/>
            <w:tcBorders>
              <w:top w:val="single" w:sz="12"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b/>
                <w:bCs/>
                <w:szCs w:val="21"/>
              </w:rPr>
            </w:pPr>
            <w:r>
              <w:rPr>
                <w:rFonts w:ascii="Times New Roman" w:eastAsia="报宋" w:hAnsi="Times New Roman" w:cs="Times New Roman"/>
                <w:b/>
                <w:bCs/>
                <w:kern w:val="0"/>
                <w:szCs w:val="21"/>
              </w:rPr>
              <w:t>2025</w:t>
            </w:r>
            <w:r>
              <w:rPr>
                <w:rFonts w:ascii="Times New Roman" w:eastAsia="报宋" w:hAnsi="Times New Roman" w:cs="Times New Roman"/>
                <w:b/>
                <w:bCs/>
                <w:kern w:val="0"/>
                <w:szCs w:val="21"/>
              </w:rPr>
              <w:t>年</w:t>
            </w:r>
          </w:p>
        </w:tc>
        <w:tc>
          <w:tcPr>
            <w:tcW w:w="1443" w:type="dxa"/>
            <w:tcBorders>
              <w:top w:val="single" w:sz="12"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b/>
                <w:bCs/>
                <w:szCs w:val="21"/>
              </w:rPr>
            </w:pPr>
            <w:r>
              <w:rPr>
                <w:rFonts w:ascii="Times New Roman" w:eastAsia="报宋" w:hAnsi="Times New Roman" w:cs="Times New Roman"/>
                <w:b/>
                <w:bCs/>
                <w:kern w:val="0"/>
                <w:szCs w:val="21"/>
              </w:rPr>
              <w:t>2030</w:t>
            </w:r>
            <w:r>
              <w:rPr>
                <w:rFonts w:ascii="Times New Roman" w:eastAsia="报宋" w:hAnsi="Times New Roman" w:cs="Times New Roman"/>
                <w:b/>
                <w:bCs/>
                <w:kern w:val="0"/>
                <w:szCs w:val="21"/>
              </w:rPr>
              <w:t>年</w:t>
            </w:r>
          </w:p>
        </w:tc>
        <w:tc>
          <w:tcPr>
            <w:tcW w:w="1443" w:type="dxa"/>
            <w:tcBorders>
              <w:top w:val="single" w:sz="12"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b/>
                <w:bCs/>
                <w:szCs w:val="21"/>
              </w:rPr>
            </w:pPr>
            <w:r>
              <w:rPr>
                <w:rFonts w:ascii="Times New Roman" w:eastAsia="报宋" w:hAnsi="Times New Roman" w:cs="Times New Roman"/>
                <w:b/>
                <w:bCs/>
                <w:kern w:val="0"/>
                <w:szCs w:val="21"/>
              </w:rPr>
              <w:t>属性</w:t>
            </w:r>
          </w:p>
        </w:tc>
      </w:tr>
      <w:tr w:rsidR="00B9739B">
        <w:trPr>
          <w:trHeight w:val="327"/>
          <w:jc w:val="center"/>
        </w:trPr>
        <w:tc>
          <w:tcPr>
            <w:tcW w:w="8658" w:type="dxa"/>
            <w:gridSpan w:val="6"/>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综合指标</w:t>
            </w:r>
            <w:r>
              <w:rPr>
                <w:rFonts w:ascii="Times New Roman" w:eastAsia="报宋" w:hAnsi="Times New Roman" w:cs="Times New Roman"/>
                <w:kern w:val="0"/>
                <w:szCs w:val="21"/>
              </w:rPr>
              <w:t>(1</w:t>
            </w:r>
            <w:r>
              <w:rPr>
                <w:rFonts w:ascii="Times New Roman" w:eastAsia="报宋" w:hAnsi="Times New Roman" w:cs="Times New Roman"/>
                <w:kern w:val="0"/>
                <w:szCs w:val="21"/>
              </w:rPr>
              <w:t>项</w:t>
            </w:r>
            <w:r>
              <w:rPr>
                <w:rFonts w:ascii="Times New Roman" w:eastAsia="报宋" w:hAnsi="Times New Roman" w:cs="Times New Roman"/>
                <w:kern w:val="0"/>
                <w:szCs w:val="21"/>
              </w:rPr>
              <w:t>)</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居民人均可支配收入年均增长率</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5.5</w:t>
            </w:r>
            <w:r>
              <w:rPr>
                <w:rFonts w:ascii="Times New Roman" w:eastAsia="报宋" w:hAnsi="Times New Roman" w:cs="Times New Roman"/>
                <w:kern w:val="0"/>
                <w:szCs w:val="21"/>
              </w:rPr>
              <w:t>左右</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327"/>
          <w:jc w:val="center"/>
        </w:trPr>
        <w:tc>
          <w:tcPr>
            <w:tcW w:w="8658" w:type="dxa"/>
            <w:gridSpan w:val="6"/>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能源资源消耗水平</w:t>
            </w:r>
            <w:r>
              <w:rPr>
                <w:rFonts w:ascii="Times New Roman" w:eastAsia="报宋" w:hAnsi="Times New Roman" w:cs="Times New Roman"/>
                <w:kern w:val="0"/>
                <w:szCs w:val="21"/>
              </w:rPr>
              <w:t>(4</w:t>
            </w:r>
            <w:r>
              <w:rPr>
                <w:rFonts w:ascii="Times New Roman" w:eastAsia="报宋" w:hAnsi="Times New Roman" w:cs="Times New Roman"/>
                <w:kern w:val="0"/>
                <w:szCs w:val="21"/>
              </w:rPr>
              <w:t>项</w:t>
            </w:r>
            <w:r>
              <w:rPr>
                <w:rFonts w:ascii="Times New Roman" w:eastAsia="报宋" w:hAnsi="Times New Roman" w:cs="Times New Roman"/>
                <w:kern w:val="0"/>
                <w:szCs w:val="21"/>
              </w:rPr>
              <w:t>)</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2</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万元</w:t>
            </w:r>
            <w:r>
              <w:rPr>
                <w:rFonts w:ascii="Times New Roman" w:eastAsia="报宋" w:hAnsi="Times New Roman" w:cs="Times New Roman"/>
                <w:kern w:val="0"/>
                <w:szCs w:val="21"/>
              </w:rPr>
              <w:t>GDP</w:t>
            </w:r>
            <w:r>
              <w:rPr>
                <w:rFonts w:ascii="Times New Roman" w:eastAsia="报宋" w:hAnsi="Times New Roman" w:cs="Times New Roman"/>
                <w:kern w:val="0"/>
                <w:szCs w:val="21"/>
              </w:rPr>
              <w:t>能耗</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吨标准煤</w:t>
            </w:r>
            <w:r>
              <w:rPr>
                <w:rFonts w:ascii="Times New Roman" w:eastAsia="报宋" w:hAnsi="Times New Roman" w:cs="Times New Roman"/>
                <w:kern w:val="0"/>
                <w:szCs w:val="21"/>
              </w:rPr>
              <w:t>/</w:t>
            </w:r>
            <w:r>
              <w:rPr>
                <w:rFonts w:ascii="Times New Roman" w:eastAsia="报宋" w:hAnsi="Times New Roman" w:cs="Times New Roman"/>
                <w:kern w:val="0"/>
                <w:szCs w:val="21"/>
              </w:rPr>
              <w:t>万元</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1.5471</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1.44</w:t>
            </w:r>
            <w:r>
              <w:rPr>
                <w:rFonts w:ascii="Times New Roman" w:eastAsia="报宋" w:hAnsi="Times New Roman" w:cs="Times New Roman"/>
                <w:kern w:val="0"/>
                <w:szCs w:val="21"/>
              </w:rPr>
              <w:t>左右</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3</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万元</w:t>
            </w:r>
            <w:r>
              <w:rPr>
                <w:rFonts w:ascii="Times New Roman" w:eastAsia="报宋" w:hAnsi="Times New Roman" w:cs="Times New Roman"/>
                <w:kern w:val="0"/>
                <w:szCs w:val="21"/>
              </w:rPr>
              <w:t>GDP</w:t>
            </w:r>
            <w:r>
              <w:rPr>
                <w:rFonts w:ascii="Times New Roman" w:eastAsia="报宋" w:hAnsi="Times New Roman" w:cs="Times New Roman"/>
                <w:kern w:val="0"/>
                <w:szCs w:val="21"/>
              </w:rPr>
              <w:t>用水量下降</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15.6</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kern w:val="0"/>
                <w:szCs w:val="21"/>
              </w:rPr>
            </w:pPr>
            <w:r>
              <w:rPr>
                <w:rFonts w:ascii="Times New Roman" w:eastAsia="报宋" w:hAnsi="Times New Roman" w:cs="Times New Roman"/>
                <w:kern w:val="0"/>
                <w:szCs w:val="21"/>
              </w:rPr>
              <w:t>控制在市级</w:t>
            </w:r>
          </w:p>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下达指标内</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32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4</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用水总量</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亿立方米</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0.5074</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kern w:val="0"/>
                <w:szCs w:val="21"/>
              </w:rPr>
            </w:pPr>
            <w:r>
              <w:rPr>
                <w:rFonts w:ascii="Times New Roman" w:eastAsia="报宋" w:hAnsi="Times New Roman" w:cs="Times New Roman"/>
                <w:kern w:val="0"/>
                <w:szCs w:val="21"/>
              </w:rPr>
              <w:t>控制在市级</w:t>
            </w:r>
          </w:p>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下达指标内</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5</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单位</w:t>
            </w:r>
            <w:r>
              <w:rPr>
                <w:rFonts w:ascii="Times New Roman" w:eastAsia="报宋" w:hAnsi="Times New Roman" w:cs="Times New Roman"/>
                <w:kern w:val="0"/>
                <w:szCs w:val="21"/>
              </w:rPr>
              <w:t>GDP</w:t>
            </w:r>
            <w:r>
              <w:rPr>
                <w:rFonts w:ascii="Times New Roman" w:eastAsia="报宋" w:hAnsi="Times New Roman" w:cs="Times New Roman"/>
                <w:kern w:val="0"/>
                <w:szCs w:val="21"/>
              </w:rPr>
              <w:t>二氧化碳排放降低</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kern w:val="0"/>
                <w:szCs w:val="21"/>
              </w:rPr>
            </w:pPr>
            <w:r>
              <w:rPr>
                <w:rFonts w:ascii="Times New Roman" w:eastAsia="报宋" w:hAnsi="Times New Roman" w:cs="Times New Roman"/>
                <w:kern w:val="0"/>
                <w:szCs w:val="21"/>
              </w:rPr>
              <w:t>控制在国家</w:t>
            </w:r>
          </w:p>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下达指标内</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327"/>
          <w:jc w:val="center"/>
        </w:trPr>
        <w:tc>
          <w:tcPr>
            <w:tcW w:w="8658" w:type="dxa"/>
            <w:gridSpan w:val="6"/>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生态环境质量</w:t>
            </w:r>
            <w:r>
              <w:rPr>
                <w:rFonts w:ascii="Times New Roman" w:eastAsia="报宋" w:hAnsi="Times New Roman" w:cs="Times New Roman"/>
                <w:kern w:val="0"/>
                <w:szCs w:val="21"/>
              </w:rPr>
              <w:t>(7</w:t>
            </w:r>
            <w:r>
              <w:rPr>
                <w:rFonts w:ascii="Times New Roman" w:eastAsia="报宋" w:hAnsi="Times New Roman" w:cs="Times New Roman"/>
                <w:kern w:val="0"/>
                <w:szCs w:val="21"/>
              </w:rPr>
              <w:t>项</w:t>
            </w:r>
            <w:r>
              <w:rPr>
                <w:rFonts w:ascii="Times New Roman" w:eastAsia="报宋" w:hAnsi="Times New Roman" w:cs="Times New Roman"/>
                <w:kern w:val="0"/>
                <w:szCs w:val="21"/>
              </w:rPr>
              <w:t>)</w:t>
            </w:r>
          </w:p>
        </w:tc>
      </w:tr>
      <w:tr w:rsidR="00B9739B">
        <w:trPr>
          <w:trHeight w:val="438"/>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6</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草原综合植被盖度</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57.4</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58.5</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32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7</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湿地保护率</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65</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66</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32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8</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森林覆盖率</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7.5</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8</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32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9</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河流断面水质</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96</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100</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10</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主要城市空气质量优良天数比例</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95</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97</w:t>
            </w:r>
            <w:r>
              <w:rPr>
                <w:rFonts w:ascii="Times New Roman" w:eastAsia="报宋" w:hAnsi="Times New Roman" w:cs="Times New Roman"/>
                <w:kern w:val="0"/>
                <w:szCs w:val="21"/>
              </w:rPr>
              <w:t>左右</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11</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对生活垃圾进行处理的村占比</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91.7</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95</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12</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对生活污水进行处理的村占比</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11</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20</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327"/>
          <w:jc w:val="center"/>
        </w:trPr>
        <w:tc>
          <w:tcPr>
            <w:tcW w:w="8658" w:type="dxa"/>
            <w:gridSpan w:val="6"/>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绿色有机农畜产品输出地建设</w:t>
            </w:r>
            <w:r>
              <w:rPr>
                <w:rFonts w:ascii="Times New Roman" w:eastAsia="报宋" w:hAnsi="Times New Roman" w:cs="Times New Roman"/>
                <w:kern w:val="0"/>
                <w:szCs w:val="21"/>
              </w:rPr>
              <w:t>(4</w:t>
            </w:r>
            <w:r>
              <w:rPr>
                <w:rFonts w:ascii="Times New Roman" w:eastAsia="报宋" w:hAnsi="Times New Roman" w:cs="Times New Roman"/>
                <w:kern w:val="0"/>
                <w:szCs w:val="21"/>
              </w:rPr>
              <w:t>项</w:t>
            </w:r>
            <w:r>
              <w:rPr>
                <w:rFonts w:ascii="Times New Roman" w:eastAsia="报宋" w:hAnsi="Times New Roman" w:cs="Times New Roman"/>
                <w:kern w:val="0"/>
                <w:szCs w:val="21"/>
              </w:rPr>
              <w:t>)</w:t>
            </w:r>
          </w:p>
        </w:tc>
      </w:tr>
      <w:tr w:rsidR="00B9739B">
        <w:trPr>
          <w:trHeight w:val="619"/>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13</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r>
              <w:rPr>
                <w:rFonts w:ascii="Times New Roman" w:eastAsia="报宋" w:hAnsi="Times New Roman" w:cs="Times New Roman"/>
                <w:kern w:val="0"/>
                <w:szCs w:val="21"/>
              </w:rPr>
              <w:t>三品一标</w:t>
            </w:r>
            <w:r>
              <w:rPr>
                <w:rFonts w:ascii="Times New Roman" w:eastAsia="报宋" w:hAnsi="Times New Roman" w:cs="Times New Roman"/>
                <w:kern w:val="0"/>
                <w:szCs w:val="21"/>
              </w:rPr>
              <w:t>"</w:t>
            </w:r>
            <w:r>
              <w:rPr>
                <w:rFonts w:ascii="Times New Roman" w:eastAsia="报宋" w:hAnsi="Times New Roman" w:cs="Times New Roman"/>
                <w:kern w:val="0"/>
                <w:szCs w:val="21"/>
              </w:rPr>
              <w:t>个数</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个</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805</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1000</w:t>
            </w:r>
            <w:r>
              <w:rPr>
                <w:rFonts w:ascii="Times New Roman" w:eastAsia="报宋" w:hAnsi="Times New Roman" w:cs="Times New Roman"/>
                <w:kern w:val="0"/>
                <w:szCs w:val="21"/>
              </w:rPr>
              <w:t>以上</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413"/>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14</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农畜产品加工转化率</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60.1</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65</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37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15</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畜禽粪污资源化利用率</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81.5</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85</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约束性</w:t>
            </w:r>
          </w:p>
        </w:tc>
      </w:tr>
      <w:tr w:rsidR="00B9739B">
        <w:trPr>
          <w:trHeight w:val="644"/>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16</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农畜产品加工产值与农业总产值比</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1.6:1</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2.4:1</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327"/>
          <w:jc w:val="center"/>
        </w:trPr>
        <w:tc>
          <w:tcPr>
            <w:tcW w:w="8658" w:type="dxa"/>
            <w:gridSpan w:val="6"/>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国际生态旅游目的地建设</w:t>
            </w:r>
            <w:r>
              <w:rPr>
                <w:rFonts w:ascii="Times New Roman" w:eastAsia="报宋" w:hAnsi="Times New Roman" w:cs="Times New Roman"/>
                <w:kern w:val="0"/>
                <w:szCs w:val="21"/>
              </w:rPr>
              <w:t>(2</w:t>
            </w:r>
            <w:r>
              <w:rPr>
                <w:rFonts w:ascii="Times New Roman" w:eastAsia="报宋" w:hAnsi="Times New Roman" w:cs="Times New Roman"/>
                <w:kern w:val="0"/>
                <w:szCs w:val="21"/>
              </w:rPr>
              <w:t>项</w:t>
            </w:r>
            <w:r>
              <w:rPr>
                <w:rFonts w:ascii="Times New Roman" w:eastAsia="报宋" w:hAnsi="Times New Roman" w:cs="Times New Roman"/>
                <w:kern w:val="0"/>
                <w:szCs w:val="21"/>
              </w:rPr>
              <w:t>)</w:t>
            </w:r>
          </w:p>
        </w:tc>
      </w:tr>
      <w:tr w:rsidR="00B9739B">
        <w:trPr>
          <w:trHeight w:val="32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17</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接待游客人次年均增速</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20</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687"/>
          <w:jc w:val="center"/>
        </w:trPr>
        <w:tc>
          <w:tcPr>
            <w:tcW w:w="708" w:type="dxa"/>
            <w:tcBorders>
              <w:top w:val="single" w:sz="4" w:space="0" w:color="000000"/>
              <w:left w:val="single" w:sz="12"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18</w:t>
            </w:r>
          </w:p>
        </w:tc>
        <w:tc>
          <w:tcPr>
            <w:tcW w:w="2374"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旅游总收入年均增速</w:t>
            </w:r>
          </w:p>
        </w:tc>
        <w:tc>
          <w:tcPr>
            <w:tcW w:w="1247"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20</w:t>
            </w:r>
          </w:p>
        </w:tc>
        <w:tc>
          <w:tcPr>
            <w:tcW w:w="1443" w:type="dxa"/>
            <w:tcBorders>
              <w:top w:val="single" w:sz="4" w:space="0" w:color="000000"/>
              <w:left w:val="single" w:sz="4" w:space="0" w:color="000000"/>
              <w:bottom w:val="single" w:sz="4" w:space="0" w:color="000000"/>
              <w:right w:val="single" w:sz="12"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预期性</w:t>
            </w:r>
          </w:p>
        </w:tc>
      </w:tr>
      <w:tr w:rsidR="00B9739B">
        <w:trPr>
          <w:trHeight w:val="557"/>
          <w:jc w:val="center"/>
        </w:trPr>
        <w:tc>
          <w:tcPr>
            <w:tcW w:w="8658" w:type="dxa"/>
            <w:gridSpan w:val="6"/>
            <w:tcBorders>
              <w:top w:val="single" w:sz="4" w:space="0" w:color="000000"/>
              <w:left w:val="single" w:sz="12" w:space="0" w:color="000000"/>
              <w:bottom w:val="single" w:sz="12" w:space="0" w:color="000000"/>
              <w:right w:val="single" w:sz="4" w:space="0" w:color="000000"/>
            </w:tcBorders>
            <w:vAlign w:val="center"/>
          </w:tcPr>
          <w:p w:rsidR="00B9739B" w:rsidRDefault="00B24D01">
            <w:pPr>
              <w:widowControl/>
              <w:jc w:val="center"/>
              <w:textAlignment w:val="center"/>
              <w:rPr>
                <w:rFonts w:ascii="Times New Roman" w:eastAsia="报宋" w:hAnsi="Times New Roman" w:cs="Times New Roman"/>
                <w:szCs w:val="21"/>
              </w:rPr>
            </w:pPr>
            <w:r>
              <w:rPr>
                <w:rFonts w:ascii="Times New Roman" w:eastAsia="报宋" w:hAnsi="Times New Roman" w:cs="Times New Roman"/>
                <w:kern w:val="0"/>
                <w:szCs w:val="21"/>
              </w:rPr>
              <w:t>注</w:t>
            </w:r>
            <w:r>
              <w:rPr>
                <w:rFonts w:ascii="Times New Roman" w:eastAsia="报宋" w:hAnsi="Times New Roman" w:cs="Times New Roman"/>
                <w:kern w:val="0"/>
                <w:szCs w:val="21"/>
              </w:rPr>
              <w:t xml:space="preserve">: </w:t>
            </w:r>
            <w:r>
              <w:rPr>
                <w:rFonts w:ascii="Times New Roman" w:eastAsia="报宋" w:hAnsi="Times New Roman" w:cs="Times New Roman"/>
                <w:kern w:val="0"/>
                <w:szCs w:val="21"/>
              </w:rPr>
              <w:t>相关规划指标待国土三调数据公布后</w:t>
            </w:r>
            <w:r>
              <w:rPr>
                <w:rFonts w:ascii="Times New Roman" w:eastAsia="报宋" w:hAnsi="Times New Roman" w:cs="Times New Roman"/>
                <w:kern w:val="0"/>
                <w:szCs w:val="21"/>
              </w:rPr>
              <w:t>,</w:t>
            </w:r>
            <w:r>
              <w:rPr>
                <w:rFonts w:ascii="Times New Roman" w:eastAsia="报宋" w:hAnsi="Times New Roman" w:cs="Times New Roman"/>
                <w:kern w:val="0"/>
                <w:szCs w:val="21"/>
              </w:rPr>
              <w:t>结合最新指标及测算结果统一进行调整。</w:t>
            </w:r>
          </w:p>
        </w:tc>
      </w:tr>
    </w:tbl>
    <w:p w:rsidR="00B9739B" w:rsidRDefault="00B24D01" w:rsidP="00BC2915">
      <w:pPr>
        <w:spacing w:afterLines="100" w:line="360" w:lineRule="auto"/>
        <w:jc w:val="center"/>
        <w:outlineLvl w:val="0"/>
        <w:rPr>
          <w:rFonts w:ascii="Times New Roman" w:eastAsia="黑体" w:hAnsi="Times New Roman" w:cs="Times New Roman"/>
          <w:bCs/>
          <w:sz w:val="32"/>
          <w:szCs w:val="32"/>
        </w:rPr>
      </w:pPr>
      <w:r>
        <w:rPr>
          <w:rFonts w:ascii="Times New Roman" w:eastAsia="仿宋_GB2312" w:hAnsi="Times New Roman" w:cs="Times New Roman"/>
          <w:sz w:val="32"/>
          <w:szCs w:val="32"/>
        </w:rPr>
        <w:br w:type="page"/>
      </w:r>
      <w:bookmarkStart w:id="82" w:name="_Toc14990"/>
      <w:r>
        <w:rPr>
          <w:rFonts w:ascii="Times New Roman" w:eastAsia="黑体" w:hAnsi="Times New Roman" w:cs="Times New Roman"/>
          <w:bCs/>
          <w:sz w:val="36"/>
          <w:szCs w:val="36"/>
        </w:rPr>
        <w:lastRenderedPageBreak/>
        <w:t>第三章</w:t>
      </w:r>
      <w:bookmarkStart w:id="83" w:name="_Hlk53499562"/>
      <w:bookmarkStart w:id="84" w:name="_Hlk53493477"/>
      <w:bookmarkEnd w:id="76"/>
      <w:bookmarkEnd w:id="83"/>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发展布局</w:t>
      </w:r>
      <w:bookmarkEnd w:id="82"/>
    </w:p>
    <w:bookmarkEnd w:id="84"/>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深入落实主体功能区规划，精心构建城镇化、农业发展和生态安全三大格局，以建设践行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w:t>
      </w:r>
      <w:r>
        <w:rPr>
          <w:rFonts w:ascii="Times New Roman" w:eastAsia="仿宋_GB2312" w:hAnsi="Times New Roman" w:cs="Times New Roman" w:hint="eastAsia"/>
          <w:sz w:val="32"/>
          <w:szCs w:val="32"/>
        </w:rPr>
        <w:t>作</w:t>
      </w:r>
      <w:r>
        <w:rPr>
          <w:rFonts w:ascii="Times New Roman" w:eastAsia="仿宋_GB2312" w:hAnsi="Times New Roman" w:cs="Times New Roman"/>
          <w:sz w:val="32"/>
          <w:szCs w:val="32"/>
        </w:rPr>
        <w:t>总体布局，明确各类空间发展方向，引导人口及产业集聚发展，形成功能协调、优势互补、联动发展的区域空间发展新格局。</w:t>
      </w:r>
      <w:bookmarkStart w:id="85" w:name="_Toc57880680"/>
      <w:bookmarkStart w:id="86" w:name="_Toc62651885"/>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87" w:name="_Toc27234"/>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分区布局</w:t>
      </w:r>
      <w:bookmarkEnd w:id="85"/>
      <w:bookmarkEnd w:id="86"/>
      <w:bookmarkEnd w:id="87"/>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围绕构建生态产业体系，以资源环境承载力为前提，立足产业基础和资源禀赋，突出区域特色、优化空间布局，构建分区发展体系。</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中东部。</w:t>
      </w:r>
      <w:r>
        <w:rPr>
          <w:rFonts w:ascii="Times New Roman" w:eastAsia="仿宋_GB2312" w:hAnsi="Times New Roman" w:cs="Times New Roman"/>
          <w:sz w:val="32"/>
          <w:szCs w:val="32"/>
        </w:rPr>
        <w:t>以建设践行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为主要抓手，打造以抚松镇、松江河镇为中心的双核心发展区，串联万良镇、仙人桥镇、泉阳镇、露水河镇形成城乡融合型发展区。通过产业的培育与发展，使人口、资本、技术等生产要素进一步集聚，加快形成工农互促、城乡互补、全面融合的新型城乡关系。</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北部。</w:t>
      </w:r>
      <w:r>
        <w:rPr>
          <w:rFonts w:ascii="Times New Roman" w:eastAsia="仿宋_GB2312" w:hAnsi="Times New Roman" w:cs="Times New Roman"/>
          <w:sz w:val="32"/>
          <w:szCs w:val="32"/>
        </w:rPr>
        <w:t>依托万良镇世界人参交易中心地位和产业基础，主要辐射带动松江河镇、抽水乡、兴参镇、新屯子镇、北岗镇、露水河镇以人参为主的农林特产业发展。延长和增厚产业链条，推进园区类产业载体建设，促进产业融合。打造宜商宜游宜购的农林特产业型发展区。</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南部。</w:t>
      </w:r>
      <w:r>
        <w:rPr>
          <w:rFonts w:ascii="Times New Roman" w:eastAsia="仿宋_GB2312" w:hAnsi="Times New Roman" w:cs="Times New Roman"/>
          <w:sz w:val="32"/>
          <w:szCs w:val="32"/>
        </w:rPr>
        <w:t>围绕域内漫江镇，接续抚松镇、松江河镇、东岗镇旅游服务功能辐射，依托鲁能度假区的建设、长白山南坡景区的开发建设，加快对区域内的促进带动。不断提升生态景观价值，打造自然生态型旅游方式，在保护的基础上发展生态观光，休闲康养，做大旅游业，打造特色村镇风貌，形成旅游产业、人参产业、绿色食品产业既有区域分工，又相互融合发展，区域相互促进，叠加带动、点面结合的高质量发展格局。</w:t>
      </w:r>
      <w:bookmarkStart w:id="88" w:name="_Toc62651890"/>
      <w:bookmarkStart w:id="89" w:name="_Hlk56247888"/>
      <w:bookmarkStart w:id="90" w:name="_Toc57880685"/>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91" w:name="_Toc18062"/>
      <w:bookmarkStart w:id="92" w:name="_Toc62651889"/>
      <w:bookmarkStart w:id="93" w:name="_Toc57880684"/>
      <w:bookmarkStart w:id="94" w:name="_Hlk56247844"/>
      <w:bookmarkEnd w:id="88"/>
      <w:bookmarkEnd w:id="89"/>
      <w:bookmarkEnd w:id="90"/>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产业布局</w:t>
      </w:r>
      <w:bookmarkStart w:id="95" w:name="_Hlk56247976"/>
      <w:bookmarkEnd w:id="9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认真贯彻省委省政府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一主六双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高质量发展战略，结合抚松县实际，精心构建</w:t>
      </w:r>
      <w:r>
        <w:rPr>
          <w:rFonts w:ascii="Times New Roman" w:eastAsia="仿宋_GB2312" w:hAnsi="Times New Roman" w:cs="Times New Roman"/>
          <w:sz w:val="32"/>
          <w:szCs w:val="32"/>
        </w:rPr>
        <w:t>“331559”</w:t>
      </w:r>
      <w:r>
        <w:rPr>
          <w:rFonts w:ascii="Times New Roman" w:eastAsia="仿宋_GB2312" w:hAnsi="Times New Roman" w:cs="Times New Roman"/>
          <w:sz w:val="32"/>
          <w:szCs w:val="32"/>
        </w:rPr>
        <w:t>产业发展新格局，</w:t>
      </w:r>
      <w:bookmarkEnd w:id="95"/>
      <w:r>
        <w:rPr>
          <w:rFonts w:ascii="Times New Roman" w:eastAsia="仿宋_GB2312" w:hAnsi="Times New Roman" w:cs="Times New Roman"/>
          <w:sz w:val="32"/>
          <w:szCs w:val="32"/>
        </w:rPr>
        <w:t>深度融入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双循环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发展新格局。</w:t>
      </w:r>
    </w:p>
    <w:p w:rsidR="00B9739B" w:rsidRDefault="00B24D01">
      <w:pPr>
        <w:spacing w:line="360" w:lineRule="auto"/>
        <w:ind w:firstLineChars="200" w:firstLine="643"/>
        <w:rPr>
          <w:rFonts w:ascii="Times New Roman" w:eastAsia="仿宋_GB2312" w:hAnsi="Times New Roman" w:cs="Times New Roman"/>
          <w:sz w:val="32"/>
          <w:szCs w:val="32"/>
        </w:rPr>
      </w:pPr>
      <w:bookmarkStart w:id="96" w:name="_Hlk56248023"/>
      <w:bookmarkStart w:id="97" w:name="_Hlk56249679"/>
      <w:r>
        <w:rPr>
          <w:rFonts w:ascii="Times New Roman" w:eastAsia="仿宋_GB2312" w:hAnsi="Times New Roman" w:cs="Times New Roman"/>
          <w:b/>
          <w:bCs/>
          <w:sz w:val="32"/>
          <w:szCs w:val="32"/>
        </w:rPr>
        <w:t>绿色食品产业。</w:t>
      </w:r>
      <w:r>
        <w:rPr>
          <w:rFonts w:ascii="Times New Roman" w:eastAsia="仿宋_GB2312" w:hAnsi="Times New Roman" w:cs="Times New Roman"/>
          <w:sz w:val="32"/>
          <w:szCs w:val="32"/>
        </w:rPr>
        <w:t>充分依托抚松生态资源优势，不断深化绿色食品供给侧结构性改革，以消费升级促进绿色食品产业转型升级，加快</w:t>
      </w:r>
      <w:r w:rsidR="008A4D01">
        <w:rPr>
          <w:rFonts w:ascii="Times New Roman" w:eastAsia="仿宋_GB2312" w:hAnsi="Times New Roman" w:cs="Times New Roman"/>
          <w:sz w:val="32"/>
          <w:szCs w:val="32"/>
        </w:rPr>
        <w:t>一、二、三产业</w:t>
      </w:r>
      <w:r>
        <w:rPr>
          <w:rFonts w:ascii="Times New Roman" w:eastAsia="仿宋_GB2312" w:hAnsi="Times New Roman" w:cs="Times New Roman"/>
          <w:sz w:val="32"/>
          <w:szCs w:val="32"/>
        </w:rPr>
        <w:t>深度融合。加快绿色健康食品产业集群建设，倾力打造中国矿泉名城。充分发挥抚松矿泉水资源优势，加快推进矿泉饮品园区建设。支持农夫山泉、泉阳泉等企业智能化、柔性化、定制化生产，形成原水和高端健康饮品。推进以矿泉饮品为主的绿色食品产业向安全健康、营养方便、休闲养生和功能保健方向发展。</w:t>
      </w:r>
      <w:bookmarkEnd w:id="96"/>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医药健康产业。</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绿色有机</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森林食药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发展方向，</w:t>
      </w:r>
      <w:r>
        <w:rPr>
          <w:rFonts w:ascii="Times New Roman" w:eastAsia="仿宋_GB2312" w:hAnsi="Times New Roman" w:cs="Times New Roman"/>
          <w:sz w:val="32"/>
          <w:szCs w:val="32"/>
        </w:rPr>
        <w:lastRenderedPageBreak/>
        <w:t>围绕全产业链壮大人参医药健康产业集群。充分挖掘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域公用品牌效应，积极延长产业链条，多举措培育壮大加盟企业，打造人参加工企业集群，深入研发以人参为原料的高附加值产品，不断提高人参加工转化能力。坚持走绿色化、品牌化、高端化发展道路，不断提升原料品质、优化产业结构实现规模扩大，质量提高，效益倍增，深度融入长辽梅白延医药健康产业走廊。</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旅游文化产业。</w:t>
      </w:r>
      <w:r>
        <w:rPr>
          <w:rFonts w:ascii="Times New Roman" w:eastAsia="仿宋_GB2312" w:hAnsi="Times New Roman" w:cs="Times New Roman"/>
          <w:sz w:val="32"/>
          <w:szCs w:val="32"/>
        </w:rPr>
        <w:t>深入践行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理念，紧紧围绕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大长白山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发展战略和打造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国际旅游名城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发展目标，坚持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生态护山、文化立山、旅游兴山、产业强山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发展思路，积极建设践行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理念，全力推进鲁能胜地项目接续建设和长白山万达国际度假区质量提升项目，优化全域旅游服务功能；完善抚松松花江旅游规划，着力构建白山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长白山北部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一体化区域经济社会发展新高地。</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98" w:name="_Toc17920"/>
      <w:bookmarkEnd w:id="97"/>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生态</w:t>
      </w:r>
      <w:bookmarkEnd w:id="92"/>
      <w:bookmarkEnd w:id="93"/>
      <w:r>
        <w:rPr>
          <w:rFonts w:ascii="Times New Roman" w:eastAsia="楷体" w:hAnsi="Times New Roman" w:cs="Times New Roman"/>
          <w:szCs w:val="32"/>
        </w:rPr>
        <w:t>布局</w:t>
      </w:r>
      <w:bookmarkEnd w:id="9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实行最严格的生态环境保护制，统筹生态系统的完整性、维护生物的多样性，地理单元的连续性和区域发展战略的协同性，构建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两带、多斑块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生态安全格局。</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两带。</w:t>
      </w:r>
      <w:r>
        <w:rPr>
          <w:rFonts w:ascii="Times New Roman" w:eastAsia="仿宋_GB2312" w:hAnsi="Times New Roman" w:cs="Times New Roman"/>
          <w:sz w:val="32"/>
          <w:szCs w:val="32"/>
        </w:rPr>
        <w:t>即</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长白山自然保护区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森林带、松花江上游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三湖保护区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长白山自然保护区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主要保护森林生态系统，</w:t>
      </w:r>
      <w:r>
        <w:rPr>
          <w:rFonts w:ascii="Times New Roman" w:eastAsia="仿宋_GB2312" w:hAnsi="Times New Roman" w:cs="Times New Roman"/>
          <w:sz w:val="32"/>
          <w:szCs w:val="32"/>
        </w:rPr>
        <w:lastRenderedPageBreak/>
        <w:t>维护生物多样性，提高水源涵养能力，严禁任何损害森林生态系统的开发建设活动；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三湖保护区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主要保护松花江上游水域生态系统，维护流域水环境，强化水土保持，严守生态基流底线，增加生态资本存量。</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多斑块。</w:t>
      </w:r>
      <w:r>
        <w:rPr>
          <w:rFonts w:ascii="Times New Roman" w:eastAsia="仿宋_GB2312" w:hAnsi="Times New Roman" w:cs="Times New Roman"/>
          <w:sz w:val="32"/>
          <w:szCs w:val="32"/>
        </w:rPr>
        <w:t>即野山参保护区、抚松国家地质公园、泉阳国家森林公园、矿泉水源保护区、长白山中国国家自然遗产地、露水河国家森林公园、松江河省级森林公园。</w:t>
      </w:r>
    </w:p>
    <w:p w:rsidR="00B9739B" w:rsidRDefault="00B24D01">
      <w:pPr>
        <w:jc w:val="center"/>
        <w:outlineLvl w:val="0"/>
        <w:rPr>
          <w:rFonts w:ascii="Times New Roman" w:eastAsia="黑体" w:hAnsi="Times New Roman" w:cs="Times New Roman"/>
          <w:bCs/>
          <w:sz w:val="36"/>
          <w:szCs w:val="36"/>
        </w:rPr>
      </w:pPr>
      <w:r>
        <w:rPr>
          <w:rFonts w:ascii="Times New Roman" w:eastAsia="仿宋_GB2312" w:hAnsi="Times New Roman" w:cs="Times New Roman"/>
          <w:sz w:val="32"/>
          <w:szCs w:val="32"/>
        </w:rPr>
        <w:br w:type="page"/>
      </w:r>
      <w:bookmarkStart w:id="99" w:name="_Toc18170"/>
      <w:bookmarkStart w:id="100" w:name="_Hlk56250271"/>
      <w:bookmarkStart w:id="101" w:name="_Hlk53502312"/>
      <w:bookmarkEnd w:id="94"/>
      <w:r>
        <w:rPr>
          <w:rFonts w:ascii="Times New Roman" w:eastAsia="黑体" w:hAnsi="Times New Roman" w:cs="Times New Roman"/>
          <w:bCs/>
          <w:sz w:val="36"/>
          <w:szCs w:val="36"/>
        </w:rPr>
        <w:lastRenderedPageBreak/>
        <w:t>第四章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加强生态环境保护与建设</w:t>
      </w:r>
      <w:bookmarkEnd w:id="99"/>
    </w:p>
    <w:p w:rsidR="00B9739B" w:rsidRDefault="00B9739B">
      <w:pPr>
        <w:rPr>
          <w:rFonts w:ascii="Times New Roman" w:hAnsi="Times New Roman" w:cs="Times New Roman"/>
        </w:rPr>
      </w:pPr>
    </w:p>
    <w:p w:rsidR="00B9739B" w:rsidRDefault="00B24D01">
      <w:pPr>
        <w:ind w:firstLineChars="200" w:firstLine="640"/>
        <w:rPr>
          <w:rFonts w:ascii="Times New Roman" w:eastAsia="仿宋" w:hAnsi="Times New Roman" w:cs="Times New Roman"/>
          <w:sz w:val="32"/>
          <w:szCs w:val="32"/>
        </w:rPr>
      </w:pPr>
      <w:r>
        <w:rPr>
          <w:rFonts w:ascii="仿宋_GB2312" w:eastAsia="仿宋_GB2312" w:hAnsi="仿宋_GB2312" w:cs="仿宋_GB2312" w:hint="eastAsia"/>
          <w:sz w:val="32"/>
          <w:szCs w:val="32"/>
        </w:rPr>
        <w:t>按照“生态优先、保护优先、自然恢复为主”方针，对生态系统进行多层次、全方位保护与修复，构筑区域生态安全屏障。推动在保护中发展，在转型中振兴，生态环境建设和经济发展高度协调。</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02" w:name="_Toc62651898"/>
      <w:bookmarkStart w:id="103" w:name="_Toc57880693"/>
      <w:bookmarkStart w:id="104" w:name="_Toc21643"/>
      <w:bookmarkEnd w:id="100"/>
      <w:r>
        <w:rPr>
          <w:rFonts w:ascii="Times New Roman" w:eastAsia="楷体" w:hAnsi="Times New Roman" w:cs="Times New Roman"/>
          <w:szCs w:val="32"/>
        </w:rPr>
        <w:t>第一节</w:t>
      </w:r>
      <w:bookmarkStart w:id="105" w:name="_Hlk56250425"/>
      <w:r>
        <w:rPr>
          <w:rFonts w:ascii="Times New Roman" w:eastAsia="楷体" w:hAnsi="Times New Roman" w:cs="Times New Roman"/>
          <w:szCs w:val="32"/>
        </w:rPr>
        <w:t xml:space="preserve">  </w:t>
      </w:r>
      <w:r>
        <w:rPr>
          <w:rFonts w:ascii="Times New Roman" w:eastAsia="楷体" w:hAnsi="Times New Roman" w:cs="Times New Roman"/>
          <w:szCs w:val="32"/>
        </w:rPr>
        <w:t>加强森林生态系统保护</w:t>
      </w:r>
      <w:bookmarkEnd w:id="102"/>
      <w:bookmarkEnd w:id="103"/>
      <w:bookmarkEnd w:id="104"/>
      <w:bookmarkEnd w:id="105"/>
    </w:p>
    <w:p w:rsidR="00B9739B" w:rsidRDefault="00B24D01">
      <w:pPr>
        <w:ind w:firstLine="640"/>
        <w:rPr>
          <w:rFonts w:ascii="仿宋_GB2312" w:eastAsia="仿宋_GB2312" w:hAnsi="仿宋_GB2312" w:cs="仿宋_GB2312"/>
          <w:sz w:val="32"/>
          <w:szCs w:val="32"/>
        </w:rPr>
      </w:pPr>
      <w:bookmarkStart w:id="106" w:name="_Hlk56250450"/>
      <w:r>
        <w:rPr>
          <w:rFonts w:ascii="仿宋_GB2312" w:eastAsia="仿宋_GB2312" w:hAnsi="仿宋_GB2312" w:cs="仿宋_GB2312" w:hint="eastAsia"/>
          <w:b/>
          <w:sz w:val="32"/>
          <w:szCs w:val="32"/>
        </w:rPr>
        <w:t>加强植被保护建设。</w:t>
      </w:r>
      <w:r>
        <w:rPr>
          <w:rFonts w:ascii="仿宋_GB2312" w:eastAsia="仿宋_GB2312" w:hAnsi="仿宋_GB2312" w:cs="仿宋_GB2312" w:hint="eastAsia"/>
          <w:sz w:val="32"/>
          <w:szCs w:val="32"/>
        </w:rPr>
        <w:t>加大水源涵养林封育保护力度。推动实施“绿盾”行动，深入开展天然林保护、重点区域绿化等林业重点工程。全面开展以森林抚育和林分结构改造为主的林分修复改造，推进灌木林改造，加强中幼林抚育管理，提高造林质量。建立天然林保护修复约束机制。采取封山育林或生态修复的措施对缓冲区内的林地实施栽针保阔，种植红松、云杉等珍贵树种，恢复自然林型。以宜林荒山荒地、疏林地、农村四旁闲置土地、坡耕地、采伐迹地和清理回收的林地为重点</w:t>
      </w:r>
      <w:bookmarkStart w:id="107" w:name="_Hlk56250670"/>
      <w:r>
        <w:rPr>
          <w:rFonts w:ascii="仿宋_GB2312" w:eastAsia="仿宋_GB2312" w:hAnsi="仿宋_GB2312" w:cs="仿宋_GB2312" w:hint="eastAsia"/>
          <w:sz w:val="32"/>
          <w:szCs w:val="32"/>
        </w:rPr>
        <w:t>。推进低质低效林改造。</w:t>
      </w:r>
      <w:bookmarkEnd w:id="107"/>
      <w:r>
        <w:rPr>
          <w:rFonts w:ascii="仿宋_GB2312" w:eastAsia="仿宋_GB2312" w:hAnsi="仿宋_GB2312" w:cs="仿宋_GB2312" w:hint="eastAsia"/>
          <w:sz w:val="32"/>
          <w:szCs w:val="32"/>
        </w:rPr>
        <w:t>对坡度在25度以上的坡耕地、水土流失严重及生态地位重要区域，引导农民实施退耕还林，合理利用和开发林地资源。在地理环境条件较好地域，通过新植、改培等方式，建设大径材培育基地和绿化苗木繁育基地。</w:t>
      </w:r>
    </w:p>
    <w:p w:rsidR="00B9739B" w:rsidRDefault="00B24D01">
      <w:pPr>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保障森林资源安全。</w:t>
      </w:r>
      <w:r>
        <w:rPr>
          <w:rFonts w:ascii="仿宋_GB2312" w:eastAsia="仿宋_GB2312" w:hAnsi="仿宋_GB2312" w:cs="仿宋_GB2312" w:hint="eastAsia"/>
          <w:sz w:val="32"/>
          <w:szCs w:val="32"/>
        </w:rPr>
        <w:t>实现林区森林资源管护全覆盖。落实管护责任制，创新森林管护方式</w:t>
      </w:r>
      <w:bookmarkStart w:id="108" w:name="_Hlk56250634"/>
      <w:bookmarkEnd w:id="106"/>
      <w:r>
        <w:rPr>
          <w:rFonts w:ascii="仿宋_GB2312" w:eastAsia="仿宋_GB2312" w:hAnsi="仿宋_GB2312" w:cs="仿宋_GB2312" w:hint="eastAsia"/>
          <w:sz w:val="32"/>
          <w:szCs w:val="32"/>
        </w:rPr>
        <w:t>。积极推进森林防火、森</w:t>
      </w:r>
      <w:r>
        <w:rPr>
          <w:rFonts w:ascii="仿宋_GB2312" w:eastAsia="仿宋_GB2312" w:hAnsi="仿宋_GB2312" w:cs="仿宋_GB2312" w:hint="eastAsia"/>
          <w:sz w:val="32"/>
          <w:szCs w:val="32"/>
        </w:rPr>
        <w:lastRenderedPageBreak/>
        <w:t>林有害生物防控体系建设</w:t>
      </w:r>
      <w:bookmarkStart w:id="109" w:name="_Hlk56250654"/>
      <w:r>
        <w:rPr>
          <w:rFonts w:ascii="仿宋_GB2312" w:eastAsia="仿宋_GB2312" w:hAnsi="仿宋_GB2312" w:cs="仿宋_GB2312" w:hint="eastAsia"/>
          <w:sz w:val="32"/>
          <w:szCs w:val="32"/>
        </w:rPr>
        <w:t>，提升森林防火水平和应急能力，</w:t>
      </w:r>
      <w:bookmarkEnd w:id="109"/>
      <w:r>
        <w:rPr>
          <w:rFonts w:ascii="仿宋_GB2312" w:eastAsia="仿宋_GB2312" w:hAnsi="仿宋_GB2312" w:cs="仿宋_GB2312" w:hint="eastAsia"/>
          <w:sz w:val="32"/>
          <w:szCs w:val="32"/>
        </w:rPr>
        <w:t>强化林业有害生物防治工作，科学分类推进补播改良、鼠虫害、毒杂草等治理措施，健全监测预警、检疫预灾、防治减灾和服务保障体系，保障生态安全。</w:t>
      </w:r>
      <w:bookmarkStart w:id="110" w:name="_Hlk56250685"/>
      <w:bookmarkEnd w:id="108"/>
      <w:r>
        <w:rPr>
          <w:rFonts w:ascii="仿宋_GB2312" w:eastAsia="仿宋_GB2312" w:hAnsi="仿宋_GB2312" w:cs="仿宋_GB2312" w:hint="eastAsia"/>
          <w:sz w:val="32"/>
          <w:szCs w:val="32"/>
        </w:rPr>
        <w:t>强化生物种质资源保护。严厉打击破坏野生动、植物资源行为，促进珍稀物种资源管理有效保护。加强对野生人参、对开蕨等珍稀濒危植物的保护，充分发挥野山参保护区、矿泉水水源地保护区、森林公园等自然保护地的物种、生态功能价值，依法依规勘定自然保护区边界，完善自然保护区的管护线路。</w:t>
      </w:r>
      <w:bookmarkStart w:id="111" w:name="_Hlk56250724"/>
      <w:r>
        <w:rPr>
          <w:rFonts w:ascii="仿宋_GB2312" w:eastAsia="仿宋_GB2312" w:hAnsi="仿宋_GB2312" w:cs="仿宋_GB2312" w:hint="eastAsia"/>
          <w:sz w:val="32"/>
          <w:szCs w:val="32"/>
        </w:rPr>
        <w:t>构建生态安全格局。加强自然遗产地，自然保护区、风景名胜区等保护和建设，构建以长白山自然保护区为主体，以头道松花江、二道松花江等河流为骨架，以山地、森林、水域等生态系统为重点，以斑状分布的野山参保护区、抚松国家地质公园、泉阳湿地公园、矿泉水水源地保护区、长白山中国国家自然遗产地、露水河国家森林公园、松江河省级森林公园等为重要组成的生态安全格局</w:t>
      </w:r>
      <w:bookmarkEnd w:id="111"/>
      <w:r>
        <w:rPr>
          <w:rFonts w:ascii="仿宋_GB2312" w:eastAsia="仿宋_GB2312" w:hAnsi="仿宋_GB2312" w:cs="仿宋_GB2312" w:hint="eastAsia"/>
          <w:sz w:val="32"/>
          <w:szCs w:val="32"/>
        </w:rPr>
        <w:t>。</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12" w:name="_Toc3854"/>
      <w:bookmarkStart w:id="113" w:name="_Toc57880694"/>
      <w:bookmarkStart w:id="114" w:name="_Toc62651899"/>
      <w:bookmarkStart w:id="115" w:name="_Hlk56250702"/>
      <w:bookmarkEnd w:id="110"/>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稳固提升水源涵养功能</w:t>
      </w:r>
      <w:bookmarkEnd w:id="112"/>
    </w:p>
    <w:p w:rsidR="00B9739B" w:rsidRDefault="00B24D01">
      <w:pPr>
        <w:pStyle w:val="a9"/>
        <w:widowControl/>
        <w:shd w:val="clear" w:color="070000" w:fill="FFFFFF"/>
        <w:spacing w:beforeAutospacing="0" w:afterAutospacing="0" w:line="675" w:lineRule="atLeast"/>
        <w:ind w:firstLineChars="200" w:firstLine="643"/>
        <w:rPr>
          <w:rFonts w:ascii="仿宋_GB2312" w:eastAsia="仿宋_GB2312" w:hAnsi="仿宋_GB2312" w:cs="仿宋_GB2312"/>
          <w:kern w:val="2"/>
          <w:sz w:val="32"/>
          <w:szCs w:val="32"/>
        </w:rPr>
      </w:pPr>
      <w:r>
        <w:rPr>
          <w:rFonts w:ascii="Times New Roman" w:eastAsia="仿宋" w:hAnsi="Times New Roman" w:cs="Times New Roman"/>
          <w:b/>
          <w:bCs/>
          <w:kern w:val="2"/>
          <w:sz w:val="32"/>
          <w:szCs w:val="32"/>
        </w:rPr>
        <w:t>巩固提高水源涵养能力</w:t>
      </w:r>
      <w:r>
        <w:rPr>
          <w:rFonts w:ascii="Times New Roman" w:eastAsia="仿宋" w:hAnsi="Times New Roman" w:cs="Times New Roman"/>
          <w:kern w:val="2"/>
          <w:sz w:val="32"/>
          <w:szCs w:val="32"/>
        </w:rPr>
        <w:t>。</w:t>
      </w:r>
      <w:r>
        <w:rPr>
          <w:rFonts w:ascii="仿宋_GB2312" w:eastAsia="仿宋_GB2312" w:hAnsi="仿宋_GB2312" w:cs="仿宋_GB2312" w:hint="eastAsia"/>
          <w:kern w:val="2"/>
          <w:sz w:val="32"/>
          <w:szCs w:val="32"/>
        </w:rPr>
        <w:t>加强松花江源头保护和流域综合治理。建立河流巡查和河道保洁常态化管理机制。制定河道保洁考核办法，通过月考核和季度汇总，确保河道保洁常态化。强化水电工程下泄生态流量监管。维持河流、湿地及</w:t>
      </w:r>
      <w:r>
        <w:rPr>
          <w:rFonts w:ascii="仿宋_GB2312" w:eastAsia="仿宋_GB2312" w:hAnsi="仿宋_GB2312" w:cs="仿宋_GB2312" w:hint="eastAsia"/>
          <w:kern w:val="2"/>
          <w:sz w:val="32"/>
          <w:szCs w:val="32"/>
        </w:rPr>
        <w:lastRenderedPageBreak/>
        <w:t>河口基本生态需水，加强干支流、湿地生态补水，适时开展人工增雨雪作业，因地制宜开展生态补水，修复水生生物栖息地。到2030年，源头活水水质保持在Ⅰ类，干支流生态水量充足，水源涵养功能整体增强。健全水源机制和重大环境突发事件联动处置机制。搭建区域合作平台，加强与周边县域协同合作，建立保护松花江联保联治协作机制，推动松花江流域协同保护共建共享。</w:t>
      </w:r>
    </w:p>
    <w:p w:rsidR="00B9739B" w:rsidRDefault="00B24D0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加强湿地生态系统治理</w:t>
      </w:r>
      <w:r>
        <w:rPr>
          <w:rFonts w:ascii="仿宋_GB2312" w:eastAsia="仿宋_GB2312" w:hAnsi="仿宋_GB2312" w:cs="仿宋_GB2312" w:hint="eastAsia"/>
          <w:sz w:val="32"/>
          <w:szCs w:val="32"/>
        </w:rPr>
        <w:t>。以自然恢复为主，人工生态修复为辅。通过开展湿地植被恢复、土地整理、地形地貌修复、栖息地修复、自然湿地岸线维护、河流水系连通、水位控制、清淤疏浚、湿地有害生物防治等措施，恢复湿地动植物栖息地生境，修复重建生态链，增加湿地面积，维护湿地生物多样性，逐步恢复湿地生态特性和生态功能，最终形成功能稳定的、健康的湿地生态系统。</w:t>
      </w:r>
      <w:bookmarkEnd w:id="113"/>
      <w:bookmarkEnd w:id="114"/>
      <w:bookmarkEnd w:id="115"/>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16" w:name="_Toc14286"/>
      <w:bookmarkStart w:id="117" w:name="_Hlk56250759"/>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强化自然保护地建设</w:t>
      </w:r>
      <w:bookmarkEnd w:id="116"/>
    </w:p>
    <w:p w:rsidR="00B9739B" w:rsidRDefault="00B24D01">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加强自然保护地管理</w:t>
      </w:r>
      <w:r>
        <w:rPr>
          <w:rFonts w:ascii="仿宋_GB2312" w:eastAsia="仿宋_GB2312" w:hAnsi="仿宋_GB2312" w:cs="仿宋_GB2312" w:hint="eastAsia"/>
          <w:sz w:val="32"/>
          <w:szCs w:val="32"/>
        </w:rPr>
        <w:t>。加强自然遗产地，自然保护区、风景名胜区等保护和建设，构建以长白山自然保护区为主体，以头道松花江、二道松花江等河流为骨架，以山地、森林、水域等生态系统为重点，以斑状分布的野山参保护区、抚松国家地质公园、泉阳湿地公园、矿泉水水源地保护区、长白</w:t>
      </w:r>
      <w:r>
        <w:rPr>
          <w:rFonts w:ascii="仿宋_GB2312" w:eastAsia="仿宋_GB2312" w:hAnsi="仿宋_GB2312" w:cs="仿宋_GB2312" w:hint="eastAsia"/>
          <w:sz w:val="32"/>
          <w:szCs w:val="32"/>
        </w:rPr>
        <w:lastRenderedPageBreak/>
        <w:t>山中国国家自然遗产地、露水河国家森林公园、松江河省级森林公园等为重要组成的生态安全格局。</w:t>
      </w:r>
    </w:p>
    <w:p w:rsidR="00B9739B" w:rsidRDefault="00B24D01">
      <w:pPr>
        <w:ind w:firstLine="640"/>
        <w:rPr>
          <w:rFonts w:ascii="Times New Roman" w:eastAsia="仿宋" w:hAnsi="Times New Roman" w:cs="Times New Roman"/>
          <w:sz w:val="32"/>
          <w:szCs w:val="32"/>
        </w:rPr>
      </w:pPr>
      <w:r>
        <w:rPr>
          <w:rFonts w:ascii="仿宋_GB2312" w:eastAsia="仿宋_GB2312" w:hAnsi="仿宋_GB2312" w:cs="仿宋_GB2312" w:hint="eastAsia"/>
          <w:b/>
          <w:bCs/>
          <w:sz w:val="32"/>
          <w:szCs w:val="32"/>
        </w:rPr>
        <w:t>开展分类保护分级管理</w:t>
      </w:r>
      <w:r>
        <w:rPr>
          <w:rFonts w:ascii="仿宋_GB2312" w:eastAsia="仿宋_GB2312" w:hAnsi="仿宋_GB2312" w:cs="仿宋_GB2312" w:hint="eastAsia"/>
          <w:sz w:val="32"/>
          <w:szCs w:val="32"/>
        </w:rPr>
        <w:t>。要根据自然保护地类型、功能和管理目标，有效分配管理要素，科学开展分类保护、分级管理。推进自然保护地立法工作，切实为依法保护、有序监管、合理执法等提供法治保障。要统筹好自然保护地经济社会发展和生态环境保护，努力实现生态环境资源化、产业经济绿色化发展。管护岗位优先安排原住居民。安排原住民参与到自然保护地生态管护、巡护工作中。强化生态护林员制度，积极推进自然保护地原住民参加自然保护地生态保护、特许经营、日常管理、访客服务等工作。</w:t>
      </w:r>
      <w:bookmarkEnd w:id="101"/>
      <w:bookmarkEnd w:id="117"/>
    </w:p>
    <w:p w:rsidR="00B9739B" w:rsidRDefault="00B24D01">
      <w:pPr>
        <w:jc w:val="center"/>
        <w:outlineLvl w:val="0"/>
        <w:rPr>
          <w:rFonts w:ascii="Times New Roman" w:eastAsia="黑体" w:hAnsi="Times New Roman" w:cs="Times New Roman"/>
          <w:sz w:val="36"/>
          <w:szCs w:val="36"/>
        </w:rPr>
      </w:pPr>
      <w:r>
        <w:rPr>
          <w:rFonts w:ascii="Times New Roman" w:eastAsia="仿宋" w:hAnsi="Times New Roman" w:cs="Times New Roman"/>
          <w:sz w:val="32"/>
          <w:szCs w:val="32"/>
        </w:rPr>
        <w:br w:type="page"/>
      </w:r>
      <w:bookmarkStart w:id="118" w:name="_Toc28388"/>
      <w:r>
        <w:rPr>
          <w:rFonts w:ascii="Times New Roman" w:eastAsia="黑体" w:hAnsi="Times New Roman" w:cs="Times New Roman"/>
          <w:bCs/>
          <w:sz w:val="36"/>
          <w:szCs w:val="36"/>
        </w:rPr>
        <w:lastRenderedPageBreak/>
        <w:t>第五章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加快绿色生态产业发展进程</w:t>
      </w:r>
      <w:bookmarkEnd w:id="118"/>
    </w:p>
    <w:p w:rsidR="00B9739B" w:rsidRDefault="00B9739B">
      <w:pPr>
        <w:pStyle w:val="a9"/>
        <w:widowControl/>
        <w:shd w:val="clear" w:color="070000" w:fill="FFFFFF"/>
        <w:spacing w:beforeAutospacing="0" w:afterAutospacing="0" w:line="460" w:lineRule="exact"/>
        <w:ind w:firstLineChars="200" w:firstLine="640"/>
        <w:rPr>
          <w:rFonts w:ascii="Times New Roman" w:eastAsia="仿宋" w:hAnsi="Times New Roman" w:cs="Times New Roman"/>
          <w:kern w:val="2"/>
          <w:sz w:val="32"/>
          <w:szCs w:val="32"/>
        </w:rPr>
      </w:pP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培育支柱产业为目标，以传统产业转型升级为导向，服从国家战略大局，走集群集约化之路，重点发展生态旅游、中医中药、业态融合等产业，扶持和壮大矿泉水、人参品牌龙头企业、积极构建生态产业体系，促进传统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脱胎换骨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，新兴产业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挑起大梁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，壮大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三个经济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三城一都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，走具有抚松特色的高质量绿色发展道路，实现绿色生态产业发展崛起。</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19" w:name="_Toc18192"/>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壮大矿泉饮品产业，打造世界矿泉水名城</w:t>
      </w:r>
      <w:bookmarkEnd w:id="11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坚持集约、高效、绿色发展的理念，充分发挥抚松作为世界三大水源富集地之一和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世界矿泉城</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的优势，扩大产能，引导支持开发中高端产品市场，打造世界天然矿泉名城。</w:t>
      </w:r>
    </w:p>
    <w:p w:rsidR="00B9739B" w:rsidRDefault="00B24D01">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一、加快产业集群化发展</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促进企业集聚。</w:t>
      </w:r>
      <w:r>
        <w:rPr>
          <w:rFonts w:ascii="Times New Roman" w:eastAsia="仿宋_GB2312" w:hAnsi="Times New Roman" w:cs="Times New Roman"/>
          <w:sz w:val="32"/>
          <w:szCs w:val="32"/>
        </w:rPr>
        <w:t>建设以矿泉水为主的绿色饮品产业集群，引导矿泉产业集群发展，降低集群内中小企业信息搜集、生产制造、售后服务等成本开支，提高创新成果产出和转化效率。鼓励业内有实力的大企业对待改建的单泉涌量大、装备落后的中小企业进行兼并重组，对未达产的企业采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腾笼换鸟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等措施，或整合或拍卖，实现优势资源使产业集群。对抚松白璟长白山天池饮品实业有限公司引导有实力的企业参</w:t>
      </w:r>
      <w:r>
        <w:rPr>
          <w:rFonts w:ascii="Times New Roman" w:eastAsia="仿宋_GB2312" w:hAnsi="Times New Roman" w:cs="Times New Roman"/>
          <w:sz w:val="32"/>
          <w:szCs w:val="32"/>
        </w:rPr>
        <w:lastRenderedPageBreak/>
        <w:t>与竞拍盘活、引导在建企业吉林长白山天泉有限公司快速投入生产、鼓励抚松精气神长白山有机食品有限公司加紧开工。引入国内外乃至世界级矿泉水企业，分别在露水河、泉阳泉、松江河镇分别建立农夫山泉、泉阳泉、马鞍山矿泉水产业园区。推动清水泉年产</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万吨天然泉水建设项目正式运营投产，争取新增产值</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亿元。将其建设成抚松纳税基地，打造税收增长极，力争年均纳税</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亿元。</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鼓励企业科技创新。</w:t>
      </w:r>
      <w:r>
        <w:rPr>
          <w:rFonts w:ascii="Times New Roman" w:eastAsia="仿宋_GB2312" w:hAnsi="Times New Roman" w:cs="Times New Roman"/>
          <w:sz w:val="32"/>
          <w:szCs w:val="32"/>
        </w:rPr>
        <w:t>支持龙头企业牵头组建创新合体，引导龙头企业与上下游企业、高等院校、研究院所等结成产业创新联盟，重点推进矿泉水行业提取、包装、检测等关键技术突破，开展产业关键核心技术攻关。围绕现有长白山人参、蓝莓、五味子等特色资源包装项目，实现由单一矿泉水生产向矿泉饮品延伸。重点发展含人参等特色中草药的保健型矿泉水；矿泉水制作饮料、酒（红、白、啤）等系列产品；具有美容疗效和养生功能的矿泉（浴）以天然矿泉水养殖的矿泉鱼等为主的矿泉养殖等，并推进相关包装印刷业、物流运输业等产业发展。对符合国家和吉林省战略需求方向且取得重大攻关成果的，可通过税收、后补助或以奖代补形式予以支持。</w:t>
      </w:r>
    </w:p>
    <w:p w:rsidR="00B9739B" w:rsidRDefault="00B24D01">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二、打造绿色矿泉水名牌</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支持本地龙头企业发展。</w:t>
      </w:r>
      <w:r>
        <w:rPr>
          <w:rFonts w:ascii="Times New Roman" w:eastAsia="仿宋_GB2312" w:hAnsi="Times New Roman" w:cs="Times New Roman"/>
          <w:sz w:val="32"/>
          <w:szCs w:val="32"/>
        </w:rPr>
        <w:t>推动矿泉饮品产业由粗放经营向以科技为引领的深度开发转型，建设成为中国屈指可数的</w:t>
      </w:r>
      <w:r>
        <w:rPr>
          <w:rFonts w:ascii="Times New Roman" w:eastAsia="仿宋_GB2312" w:hAnsi="Times New Roman" w:cs="Times New Roman"/>
          <w:sz w:val="32"/>
          <w:szCs w:val="32"/>
        </w:rPr>
        <w:lastRenderedPageBreak/>
        <w:t>优质矿泉饮品生产基地。大力支持农夫山泉、泉阳泉等企业，形成原水和高端健康饮品相互补充的发展格局。在马鞍山林场打造矿泉水园区。在该区域建工厂，科学铺设饮水管线，充分利用其丰富的矿泉资源；全力支持吉林森工露林山泉、抚松县鸿运实业有限公司天露之源山泉水、白山森露源饮品有限公司森露源饮用水等本地品牌发展。重点推进农夫山泉饮料有限公司扩产增能、清水泉水业有限公司年产</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万吨矿泉水综合开发、天源至臻（抚松）健康饮品有限公司等项目工程。到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年，以矿泉水为主的绿色食品业产值达到三十亿级。到</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年产值达到四十五亿级。</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提高稀缺品牌竞争力。</w:t>
      </w:r>
      <w:r>
        <w:rPr>
          <w:rFonts w:ascii="Times New Roman" w:eastAsia="仿宋_GB2312" w:hAnsi="Times New Roman" w:cs="Times New Roman"/>
          <w:sz w:val="32"/>
          <w:szCs w:val="32"/>
        </w:rPr>
        <w:t>充分发挥天然矿泉水龙头企业在区域品牌创建中的引领作用，引导中小企业树立品牌化意识，构建区域品牌建设利益共同体。以泉阳泉饮品有限公司获准使用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吉林长白山天然矿泉水地理标志产品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为基础，打造泉阳泉饮品等品牌，以及林海雪原、峡谷泉等多个驰名商标，建立矿泉水产品的质量管控和品牌管理体系，树立抚松</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绿色矿泉水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通过冠名等方式举办或赞助国内外大型展览会、高峰论坛，提升矿泉水产品的附加值和企业竞争力。充分认识长白山矿泉水的原生态、稀缺性，拟建设榆树河抽水蓄能电站，通过水电站的建立，既能对下游的防洪灌溉、水产养殖、水土保持、气候调节、风景旅游等多种经济、生态和社会效益发挥良好作用，又能促进抚松县天然优质矿泉水产业</w:t>
      </w:r>
      <w:r>
        <w:rPr>
          <w:rFonts w:ascii="Times New Roman" w:eastAsia="仿宋_GB2312" w:hAnsi="Times New Roman" w:cs="Times New Roman"/>
          <w:sz w:val="32"/>
          <w:szCs w:val="32"/>
        </w:rPr>
        <w:lastRenderedPageBreak/>
        <w:t>向价值链高端攀升。</w:t>
      </w:r>
    </w:p>
    <w:p w:rsidR="00B9739B" w:rsidRDefault="00B24D01">
      <w:pPr>
        <w:spacing w:line="360" w:lineRule="auto"/>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三、加大市场营销力度</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借助名人效应引流。</w:t>
      </w:r>
      <w:r>
        <w:rPr>
          <w:rFonts w:ascii="Times New Roman" w:eastAsia="仿宋_GB2312" w:hAnsi="Times New Roman" w:cs="Times New Roman"/>
          <w:sz w:val="32"/>
          <w:szCs w:val="32"/>
        </w:rPr>
        <w:t>鼓励龙头企业邀请明星代言、鼓励商家邀请本土名人宣传、倡导县委县政府领导层代言宣传家乡。</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开展论坛峰会宣传。</w:t>
      </w:r>
      <w:r>
        <w:rPr>
          <w:rFonts w:ascii="Times New Roman" w:eastAsia="仿宋_GB2312" w:hAnsi="Times New Roman" w:cs="Times New Roman"/>
          <w:sz w:val="32"/>
          <w:szCs w:val="32"/>
        </w:rPr>
        <w:t>鼓励第三方、行业协会举办具有行业、全省乃至全国影响力的高峰论坛等宣传主题活动，提升抚松天然优质矿泉水知名度。</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通过自媒体平台推广。</w:t>
      </w:r>
      <w:r>
        <w:rPr>
          <w:rFonts w:ascii="Times New Roman" w:eastAsia="仿宋_GB2312" w:hAnsi="Times New Roman" w:cs="Times New Roman"/>
          <w:sz w:val="32"/>
          <w:szCs w:val="32"/>
        </w:rPr>
        <w:t>倡导全县机关企事业单位、基层民众通过微信公众号、小程序、今日头条、微博、抖音、快手及直播间等载体宣传。</w:t>
      </w:r>
    </w:p>
    <w:p w:rsidR="00B9739B" w:rsidRDefault="00B24D01">
      <w:pPr>
        <w:spacing w:line="360" w:lineRule="auto"/>
        <w:ind w:firstLineChars="200" w:firstLine="643"/>
        <w:rPr>
          <w:rFonts w:ascii="Times New Roman" w:eastAsia="仿宋" w:hAnsi="Times New Roman" w:cs="Times New Roman"/>
          <w:sz w:val="32"/>
          <w:szCs w:val="32"/>
        </w:rPr>
      </w:pPr>
      <w:r>
        <w:rPr>
          <w:rFonts w:ascii="Times New Roman" w:eastAsia="仿宋_GB2312" w:hAnsi="Times New Roman" w:cs="Times New Roman"/>
          <w:b/>
          <w:bCs/>
          <w:sz w:val="32"/>
          <w:szCs w:val="32"/>
        </w:rPr>
        <w:t>打造生态产业</w:t>
      </w:r>
      <w:r>
        <w:rPr>
          <w:rFonts w:ascii="Times New Roman" w:eastAsia="仿宋_GB2312" w:hAnsi="Times New Roman" w:cs="Times New Roman"/>
          <w:b/>
          <w:bCs/>
          <w:sz w:val="32"/>
          <w:szCs w:val="32"/>
        </w:rPr>
        <w:t>IP</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与大搜索引擎公司合作，提高其网络搜索引擎排名，增加抚松生态产业</w:t>
      </w:r>
      <w:r>
        <w:rPr>
          <w:rFonts w:ascii="Times New Roman" w:eastAsia="仿宋_GB2312" w:hAnsi="Times New Roman" w:cs="Times New Roman"/>
          <w:sz w:val="32"/>
          <w:szCs w:val="32"/>
        </w:rPr>
        <w:t>IP</w:t>
      </w:r>
      <w:r>
        <w:rPr>
          <w:rFonts w:ascii="Times New Roman" w:eastAsia="仿宋_GB2312" w:hAnsi="Times New Roman" w:cs="Times New Roman"/>
          <w:sz w:val="32"/>
          <w:szCs w:val="32"/>
        </w:rPr>
        <w:t>曝光率和访问量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将抚松县天然优质矿泉水与当地的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健康天然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绿色生态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文化相结合，塑造抚松县矿泉水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纯天然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的良好形象。</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20" w:name="_Toc20975"/>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利用区位及资源优势，发展壮大</w:t>
      </w:r>
      <w:r>
        <w:rPr>
          <w:rFonts w:ascii="Times New Roman" w:eastAsia="楷体" w:hAnsi="Times New Roman" w:cs="Times New Roman"/>
          <w:szCs w:val="32"/>
        </w:rPr>
        <w:t>“</w:t>
      </w:r>
      <w:r>
        <w:rPr>
          <w:rFonts w:ascii="Times New Roman" w:eastAsia="楷体" w:hAnsi="Times New Roman" w:cs="Times New Roman"/>
          <w:szCs w:val="32"/>
        </w:rPr>
        <w:t>三个经济</w:t>
      </w:r>
      <w:r>
        <w:rPr>
          <w:rFonts w:ascii="Times New Roman" w:eastAsia="楷体" w:hAnsi="Times New Roman" w:cs="Times New Roman"/>
          <w:szCs w:val="32"/>
        </w:rPr>
        <w:t>”</w:t>
      </w:r>
      <w:bookmarkEnd w:id="120"/>
    </w:p>
    <w:p w:rsidR="00B9739B" w:rsidRDefault="00B24D01">
      <w:pPr>
        <w:spacing w:line="360" w:lineRule="auto"/>
        <w:ind w:firstLineChars="200" w:firstLine="643"/>
        <w:rPr>
          <w:rFonts w:ascii="Times New Roman" w:eastAsia="仿宋_GB2312" w:hAnsi="Times New Roman" w:cs="Times New Roman"/>
        </w:rPr>
      </w:pPr>
      <w:r>
        <w:rPr>
          <w:rFonts w:ascii="Times New Roman" w:eastAsia="仿宋_GB2312" w:hAnsi="Times New Roman" w:cs="Times New Roman"/>
          <w:b/>
          <w:bCs/>
          <w:sz w:val="32"/>
          <w:szCs w:val="32"/>
        </w:rPr>
        <w:t>发展会展经济</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会展业是现代经济的重要组成部分，能有效促进产业融合与发展。利用抚松县区位及资源优势，围绕人参产品、中药制品、矿泉产品等实体经济策展办展。打造中国人参博物馆、中国北药道地博物馆，总结第三届全国</w:t>
      </w:r>
      <w:r>
        <w:rPr>
          <w:rFonts w:ascii="Times New Roman" w:eastAsia="仿宋_GB2312" w:hAnsi="Times New Roman" w:cs="Times New Roman"/>
          <w:bCs/>
          <w:sz w:val="32"/>
          <w:szCs w:val="32"/>
        </w:rPr>
        <w:lastRenderedPageBreak/>
        <w:t>人参产业高质量发展大会经验，利用三年疫情结束经济复苏之际，继续举办第二届全国人参产业高质量发展大会、全国中医药发展交流大会、全国矿泉产品开发调研大会。为支持会展经济发展壮大，拟出台会展产业集聚发展总体</w:t>
      </w:r>
      <w:r>
        <w:rPr>
          <w:rFonts w:ascii="Times New Roman" w:eastAsia="仿宋" w:hAnsi="Times New Roman" w:cs="Times New Roman"/>
          <w:sz w:val="32"/>
          <w:szCs w:val="32"/>
        </w:rPr>
        <w:t>规划，拟</w:t>
      </w:r>
      <w:r>
        <w:rPr>
          <w:rFonts w:ascii="Times New Roman" w:eastAsia="仿宋_GB2312" w:hAnsi="Times New Roman" w:cs="Times New Roman"/>
          <w:bCs/>
          <w:sz w:val="32"/>
          <w:szCs w:val="32"/>
        </w:rPr>
        <w:t>对当前展馆进行扩建和完善，</w:t>
      </w:r>
      <w:r>
        <w:rPr>
          <w:rFonts w:ascii="Times New Roman" w:eastAsia="仿宋" w:hAnsi="Times New Roman" w:cs="Times New Roman"/>
          <w:sz w:val="32"/>
          <w:szCs w:val="32"/>
        </w:rPr>
        <w:t>向</w:t>
      </w:r>
      <w:r>
        <w:rPr>
          <w:rFonts w:ascii="Times New Roman" w:eastAsia="仿宋_GB2312" w:hAnsi="Times New Roman" w:cs="Times New Roman"/>
          <w:bCs/>
          <w:sz w:val="32"/>
          <w:szCs w:val="32"/>
        </w:rPr>
        <w:t>国内知名会展机构取经学习，争取吸引更多优质会展项目和会展机构入驻抚松。针对特定细分领域定向邀约专业观众和采购商，同步举办高层次论坛、行业沙龙、技术会议等配套活动，不断提升展会的省内外乃至国内外影响力和专业化水平</w:t>
      </w:r>
      <w:r>
        <w:rPr>
          <w:rFonts w:ascii="Times New Roman" w:eastAsia="仿宋" w:hAnsi="Times New Roman" w:cs="Times New Roman"/>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年起，力争年均举办</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次高水准会展，把抚松建设成为具有功能完善、业态完整、联动高效的会展产业生态圈的全国会展之都。</w:t>
      </w:r>
    </w:p>
    <w:p w:rsidR="00B9739B" w:rsidRDefault="00B24D01">
      <w:pPr>
        <w:spacing w:line="360" w:lineRule="auto"/>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发展赛事经济。</w:t>
      </w:r>
      <w:r>
        <w:rPr>
          <w:rFonts w:ascii="Times New Roman" w:eastAsia="仿宋_GB2312" w:hAnsi="Times New Roman" w:cs="Times New Roman"/>
          <w:bCs/>
          <w:sz w:val="32"/>
          <w:szCs w:val="32"/>
        </w:rPr>
        <w:t>赛事是低成本、高质量的宣传平台。未来几年，抚松将紧抓赛事契机，以经济发展为落脚点，深入谋划，将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赛事</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与</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经济</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有机结合。为提升服务能力和服务水平，拟建</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个有抚松特色的民宿村、</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个三星级以上酒店，打造具有抚松特色的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铁锅炖大鹅</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、矿泉小镇的泉阳泉水餐饮、万良小镇的人参餐饮。拟在松花江适当水域举办有</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水上高尔夫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之称的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路亚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赛事，除增加抚松地域知名度外，也将催生钓具产业庞大产业链及之相关的户外用品市场的诞生。此外，承接马拉松、越野滑雪等国家级有影响力的赛事，增加交通、餐饮、住宿、门票等旅游经济收入，并且通过赛事宣传，提高抚松知名度和美誉度，带动旅游业，促进特产市</w:t>
      </w:r>
      <w:r>
        <w:rPr>
          <w:rFonts w:ascii="Times New Roman" w:eastAsia="仿宋_GB2312" w:hAnsi="Times New Roman" w:cs="Times New Roman"/>
          <w:bCs/>
          <w:sz w:val="32"/>
          <w:szCs w:val="32"/>
        </w:rPr>
        <w:lastRenderedPageBreak/>
        <w:t>场繁荣，实现经济提质增效。</w:t>
      </w:r>
      <w:r>
        <w:rPr>
          <w:rFonts w:ascii="Times New Roman" w:eastAsia="仿宋_GB2312" w:hAnsi="Times New Roman" w:cs="Times New Roman"/>
          <w:bCs/>
          <w:sz w:val="32"/>
          <w:szCs w:val="32"/>
        </w:rPr>
        <w:t>2025</w:t>
      </w:r>
      <w:r>
        <w:rPr>
          <w:rFonts w:ascii="Times New Roman" w:eastAsia="仿宋_GB2312" w:hAnsi="Times New Roman" w:cs="Times New Roman"/>
          <w:bCs/>
          <w:sz w:val="32"/>
          <w:szCs w:val="32"/>
        </w:rPr>
        <w:t>年起，</w:t>
      </w:r>
      <w:r>
        <w:rPr>
          <w:rFonts w:ascii="Times New Roman" w:eastAsia="仿宋_GB2312" w:hAnsi="Times New Roman" w:cs="Times New Roman"/>
          <w:sz w:val="32"/>
          <w:szCs w:val="32"/>
        </w:rPr>
        <w:t>力争年均举办</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次高水准赛事活动，实现体育搭台，经济唱戏的目的。</w:t>
      </w:r>
    </w:p>
    <w:p w:rsidR="00B9739B" w:rsidRDefault="00B24D01">
      <w:pPr>
        <w:spacing w:line="360" w:lineRule="auto"/>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发展网红经济。</w:t>
      </w:r>
      <w:r>
        <w:rPr>
          <w:rFonts w:ascii="Times New Roman" w:eastAsia="仿宋_GB2312" w:hAnsi="Times New Roman" w:cs="Times New Roman"/>
          <w:bCs/>
          <w:sz w:val="32"/>
          <w:szCs w:val="32"/>
        </w:rPr>
        <w:t>打造</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网红打卡地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样板，拉动文旅经济发展。利用抚松县生态景点地缘优势，鼓励全县网红大咖通过直播形式宣传抚松。鼓励全县有条件的景区、景区镇、景区村开展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直播</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文旅</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活动，通过直播导游等方式，打造</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网红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消费体验场景，带动抚松县文旅经济、假日经济发展。政府对网红打卡地进行建设布局，招引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网红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创新型团队，紧密链接</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网红</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时尚经济，借助网红直播等运营手段，传播抚松文旅、特产等特色文化，打造抚松标志性文旅</w:t>
      </w:r>
      <w:r>
        <w:rPr>
          <w:rFonts w:ascii="Times New Roman" w:eastAsia="仿宋_GB2312" w:hAnsi="Times New Roman" w:cs="Times New Roman"/>
          <w:bCs/>
          <w:sz w:val="32"/>
          <w:szCs w:val="32"/>
        </w:rPr>
        <w:t>IP</w:t>
      </w:r>
      <w:r>
        <w:rPr>
          <w:rFonts w:ascii="Times New Roman" w:eastAsia="仿宋_GB2312" w:hAnsi="Times New Roman" w:cs="Times New Roman"/>
          <w:bCs/>
          <w:sz w:val="32"/>
          <w:szCs w:val="32"/>
        </w:rPr>
        <w:t>，吸引国内外游客来网红打卡地旅游打卡，提升抚松文化旅游软实力。</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21" w:name="_Toc5149"/>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积极发展人参产业，打造世界人参名城</w:t>
      </w:r>
      <w:bookmarkEnd w:id="12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坚持绿色有机、森林食药的发展方向，围绕全产业链壮大人参医药健康产业集群。充分挖掘长白山人参药食同源天然生态优势，实现人参产业集约化、科技化、融合化高质量发展。</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22" w:name="_Toc24268"/>
      <w:bookmarkStart w:id="123" w:name="_Toc24872"/>
      <w:r>
        <w:rPr>
          <w:rFonts w:ascii="Times New Roman" w:eastAsia="仿宋_GB2312" w:hAnsi="Times New Roman" w:cs="Times New Roman"/>
          <w:b/>
          <w:bCs/>
          <w:sz w:val="32"/>
          <w:szCs w:val="32"/>
        </w:rPr>
        <w:t>一、实现人参产业集约化</w:t>
      </w:r>
      <w:bookmarkEnd w:id="122"/>
      <w:bookmarkEnd w:id="12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依托优势产业集群项目，以企业为主体，进一步加强人参产业园区建设，建成省级标准化生产示范区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个，升级国家级园区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个，积极申报国家级现代产业园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个，引导人参精深加工龙头企业向园区集聚发展。培育扶持吉林省华润和</w:t>
      </w:r>
      <w:r>
        <w:rPr>
          <w:rFonts w:ascii="Times New Roman" w:eastAsia="仿宋_GB2312" w:hAnsi="Times New Roman" w:cs="Times New Roman"/>
          <w:sz w:val="32"/>
          <w:szCs w:val="32"/>
        </w:rPr>
        <w:lastRenderedPageBreak/>
        <w:t>善堂人参、吉林参王植保、肽谷生物等企业做大做强，积极助推华润和善堂、抚松传奇参业入驻产业园区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质高效推动人参产业集群集聚发展。充分发挥抚松人参中国特色农产品优势区的潜力，围绕中国人参博物馆、中国人参研究所、中国人参交易所和中国人参文化博览园等设施建设，着力打造产业集群、政策集成、要素集聚、功能集合的核心引领区。构建完整的全产业发展链条，以全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长辽梅通白敦医药健康产业走廊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产业发展载体，持续优化吉林长白山人参产业集群建设，重点支持以人参为主的精深加工型企业发展。积极弘扬中医药文化，依托优良的自然生态和丰富的食药资源，大力培育森林康养、气候康养、温泉康养等产业基地，着力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药、医、养、食、游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一体的医药健康产业集群。推进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系列标准应用，为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抢占产业制高点提供质量保证。要积极引导恒康、中草集、云极生物等企业研发高端化、多元化、系列化产品。</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24" w:name="_Toc19032"/>
      <w:bookmarkStart w:id="125" w:name="_Toc375"/>
      <w:r>
        <w:rPr>
          <w:rFonts w:ascii="Times New Roman" w:eastAsia="仿宋_GB2312" w:hAnsi="Times New Roman" w:cs="Times New Roman"/>
          <w:b/>
          <w:bCs/>
          <w:sz w:val="32"/>
          <w:szCs w:val="32"/>
        </w:rPr>
        <w:t>二、实现人参产业科技化</w:t>
      </w:r>
      <w:bookmarkEnd w:id="124"/>
      <w:bookmarkEnd w:id="125"/>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加快建设人参标准化种植基地和完善产品可追溯体系。以吉林大学长白山资源与健康研究院等院所为科技创新平台，不断深化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校、地、资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三方合作共建模式，支持省内外专业研究机构，培育、引进专业种业企业和人参种质资源科研团队，共建人参种子种苗繁育基地及种植技术推广基地。推广应用人参种苗选育、提纯、复壮等多项技术，有效解决</w:t>
      </w:r>
      <w:r>
        <w:rPr>
          <w:rFonts w:ascii="Times New Roman" w:eastAsia="仿宋_GB2312" w:hAnsi="Times New Roman" w:cs="Times New Roman"/>
          <w:sz w:val="32"/>
          <w:szCs w:val="32"/>
        </w:rPr>
        <w:lastRenderedPageBreak/>
        <w:t>因品种退化导致的品质退化、产量降低、抗逆性减弱等问题，实现人参良种良法供应配套。筹备建设长白山人参种子种苗繁育中心，推进人参种子、种苗优质化、标准化，不断提高人参种苗质量。鼓励县内龙头企业与省内外高等院校、科研机构合作，开展人参种质资源调查、收集、保存工作，建立人参种质资源圃；支持与国家药用种质资源库对接，在抚松建设人参种质资源库。</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快新产品开发。引导开创人参产业技术革新和科学研发新模式，积极引进先进工艺技术，推动人参皂苷、人参多糖、人参蛋白（人参多肽）、人参挥发油等中间产品提取与应用，重点推进人参精深加工规模化、市场化、产业化发展。加快推进以人参为基源的保健品、化妆品、药品、生物制品为方向，推进新产品研发和成果转化应用，重点推动延伸药用、食用、化妆品等人参精深加工链条，突破关键技术瓶颈，提高人参综合开发利用水平，提升人参产品附加值和产业市场竞争力。</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26" w:name="_Toc23246"/>
      <w:bookmarkStart w:id="127" w:name="_Toc25167"/>
      <w:r>
        <w:rPr>
          <w:rFonts w:ascii="Times New Roman" w:eastAsia="仿宋_GB2312" w:hAnsi="Times New Roman" w:cs="Times New Roman"/>
          <w:b/>
          <w:bCs/>
          <w:sz w:val="32"/>
          <w:szCs w:val="32"/>
        </w:rPr>
        <w:t>三、实现人参产业融合化</w:t>
      </w:r>
      <w:bookmarkEnd w:id="126"/>
      <w:bookmarkEnd w:id="127"/>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引领人参文化业态融合。进一步提高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抚松长白山人参节</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庆宣传效果，加大长白山文化、人参文化、红色文化和历史文化资源挖掘力度，不断丰富文化创意、影视创作等新型文化业态，以文化特色提高品牌美誉度和知名度，提升产品附加值。探索筹建中国人参博物馆，全方位展示我国</w:t>
      </w:r>
      <w:r>
        <w:rPr>
          <w:rFonts w:ascii="Times New Roman" w:eastAsia="仿宋_GB2312" w:hAnsi="Times New Roman" w:cs="Times New Roman"/>
          <w:sz w:val="32"/>
          <w:szCs w:val="32"/>
        </w:rPr>
        <w:lastRenderedPageBreak/>
        <w:t>人参历史传统、科技进展、文化脉络、临床价值、健康产品、产业发展。</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开发人参食药业态融合。依托优良的自然生态和丰富的食药资源，大力培育森林康养、气候康养、温泉康养等产业基地，着力构建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药、医、养、食、游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一体的医药健康产业集群。</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推进康养旅游业态融合。将红色旅游、康养旅游、乡村旅游、工业旅游等旅游业态与人参产业相结合，着力开发多层次、特色化、中高端旅游产品体系，打造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康养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农事体验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等一批新业态。在万达、鲁能度假区内谋划设立长白山药用植物园，不断丰富旅游景区及旅游线路，做精产品、做优服务、做好运营等基础性工作。</w:t>
      </w:r>
    </w:p>
    <w:p w:rsidR="00B9739B" w:rsidRDefault="00B24D01">
      <w:pPr>
        <w:spacing w:line="360" w:lineRule="auto"/>
        <w:ind w:firstLineChars="200" w:firstLine="640"/>
        <w:rPr>
          <w:rFonts w:ascii="Times New Roman" w:eastAsia="仿宋" w:hAnsi="Times New Roman" w:cs="Times New Roman"/>
          <w:sz w:val="32"/>
          <w:szCs w:val="32"/>
          <w:shd w:val="clear" w:color="auto" w:fill="FFFFFF"/>
        </w:rPr>
      </w:pPr>
      <w:r>
        <w:rPr>
          <w:rFonts w:ascii="Times New Roman" w:eastAsia="仿宋_GB2312" w:hAnsi="Times New Roman" w:cs="Times New Roman"/>
          <w:sz w:val="32"/>
          <w:szCs w:val="32"/>
        </w:rPr>
        <w:t>创建人参产业融合示范园。遴选具有人参产业优势特色突出，产业集聚发展、利益联结紧密、配套服务完善、组织管理高效，具有较强示范作用的乡镇，重点支持，战略谋划，强化组织，申报国家人参专题国家农村产业融合示范园。万良镇人参全产业链、泉阳镇人参特色食品、松江河镇人参商贸中心等发展特色。以中国人参产业示范区为依托，建设规范化人参中药材种植基地，打通优质人参繁育环节，建立良种繁育技术体系。</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28" w:name="_Toc3689"/>
      <w:r>
        <w:rPr>
          <w:rFonts w:ascii="Times New Roman" w:eastAsia="楷体" w:hAnsi="Times New Roman" w:cs="Times New Roman"/>
          <w:szCs w:val="32"/>
        </w:rPr>
        <w:lastRenderedPageBreak/>
        <w:t>第四节</w:t>
      </w:r>
      <w:r>
        <w:rPr>
          <w:rFonts w:ascii="Times New Roman" w:eastAsia="楷体" w:hAnsi="Times New Roman" w:cs="Times New Roman"/>
          <w:szCs w:val="32"/>
        </w:rPr>
        <w:t xml:space="preserve">  </w:t>
      </w:r>
      <w:r>
        <w:rPr>
          <w:rFonts w:ascii="Times New Roman" w:eastAsia="楷体" w:hAnsi="Times New Roman" w:cs="Times New Roman"/>
          <w:szCs w:val="32"/>
        </w:rPr>
        <w:t>大力开发旅游经济带，打造国际旅游名城</w:t>
      </w:r>
      <w:bookmarkEnd w:id="12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立足抚松县生态优势，突出文旅融合，建成以康养度假为龙头，人参文化为特色，自然风光为基础，乡村旅游为支撑，以特色化、品牌化、国际化、系列化为引领，将抚松县打造成为全国一流的生态文化体验圣地。</w:t>
      </w:r>
      <w:bookmarkStart w:id="129" w:name="_Toc62651914"/>
      <w:bookmarkStart w:id="130" w:name="_Toc57880709"/>
    </w:p>
    <w:p w:rsidR="00B9739B" w:rsidRDefault="00B24D01">
      <w:pPr>
        <w:spacing w:line="360" w:lineRule="auto"/>
        <w:ind w:firstLineChars="200" w:firstLine="643"/>
        <w:rPr>
          <w:rFonts w:ascii="Times New Roman" w:eastAsia="仿宋_GB2312" w:hAnsi="Times New Roman" w:cs="Times New Roman"/>
          <w:b/>
          <w:bCs/>
          <w:sz w:val="32"/>
          <w:szCs w:val="32"/>
        </w:rPr>
      </w:pPr>
      <w:bookmarkStart w:id="131" w:name="_Toc10331"/>
      <w:bookmarkStart w:id="132" w:name="_Toc644"/>
      <w:bookmarkStart w:id="133" w:name="_Hlk56253737"/>
      <w:bookmarkEnd w:id="129"/>
      <w:bookmarkEnd w:id="130"/>
      <w:r>
        <w:rPr>
          <w:rFonts w:ascii="Times New Roman" w:eastAsia="仿宋_GB2312" w:hAnsi="Times New Roman" w:cs="Times New Roman"/>
          <w:b/>
          <w:bCs/>
          <w:sz w:val="32"/>
          <w:szCs w:val="32"/>
        </w:rPr>
        <w:t>一、优化生态旅游发展布局</w:t>
      </w:r>
      <w:bookmarkEnd w:id="131"/>
      <w:bookmarkEnd w:id="132"/>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打造国际旅游目的地不动摇。依托优势资源，以长白山旅游为核心，布局八大功能区，推进全域旅游事业发展。</w:t>
      </w:r>
      <w:bookmarkStart w:id="134" w:name="_Hlk56253766"/>
      <w:bookmarkEnd w:id="13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核心综合服务功能区。以抚松镇、松江河镇为主，打造交通集散中心、旅游购物、旅游资讯、安全救援等业态。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滨江休闲观光功能区。以沿江乡、抽水乡、新屯子镇为主，打造水上运动、餐饮、酒吧、特色商店、度假酒店、度假村、水上乐园、文化广场等业态。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人参文化旅游功能区。以万良镇、东岗镇为主，打造人参博物馆、文创商店、中医药文化、特色购物、特色餐饮、养生保健等业态。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泉阳矿泉养生功能区。以泉阳镇、北岗镇为主，打造商务会议、度假酒店、休闲地产、休闲娱乐、温泉养生、温泉饮食、医疗康复等业态。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露水河国际森林旅游功能区。以露水河镇为主，打造林地漫步、森林负离子浴、山野营地、游憩驿站、丛林野战、氧吧特色餐吧、浪漫婚庆等业态。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仙人桥温泉养生功能区。以仙人桥镇为主，打造温泉农庄、温泉娱乐、温泉度假区、商务会议中心、精品酒店、养身休闲、游乐体验等业态。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长白山万达旅游度假功能区。以东岗镇为主，打造度假酒店、冰雪运动、特色餐饮、购物、综合娱乐、温泉养生、歌舞演绎、文创产品等业态。</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漫江镇生态旅游功能区。以漫江镇为主，打造风情体验、湿地公园、婚纱摄影、房车营地、鲁能圣地住宿、餐饮、观光、商务会议等业态。</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35" w:name="_Toc11908"/>
      <w:bookmarkStart w:id="136" w:name="_Toc6042"/>
      <w:bookmarkEnd w:id="134"/>
      <w:r>
        <w:rPr>
          <w:rFonts w:ascii="Times New Roman" w:eastAsia="仿宋_GB2312" w:hAnsi="Times New Roman" w:cs="Times New Roman"/>
          <w:b/>
          <w:bCs/>
          <w:sz w:val="32"/>
          <w:szCs w:val="32"/>
        </w:rPr>
        <w:t>二、丰富生态旅游产业体系</w:t>
      </w:r>
      <w:bookmarkEnd w:id="135"/>
      <w:bookmarkEnd w:id="13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以建设践行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理念试验区先行区为引领，以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重要途径，推动生态旅游产业结构调整。加快构建和完善区域旅游联盟，协同推进全域旅游开发及营销推介，联动打造旅游品牌、提升旅游品质、丰富旅游内涵。丰富旅游业态，不断激发产业新活力。打造温泉旅游文化带。以仙人桥温泉为龙头，依托露水河国际狩猎场等主要旅游节点进行深度开发，发展森林狩猎、松花江漂流、科普旅游、工业旅游与休闲观光。打造观光小镇。推进人参生产、加工、销售与旅游观光体验相结合，加快万良人参体验旅游小镇、东岗乡村休闲旅游观光小镇等建设发展。以鲁能、万达等大型旅游企业为龙头。打造林雪小镇。加快推进吉林漫江生态文化旅游综合开发等项目，加快漫江冰雪旅游小镇和松江河小镇等建设</w:t>
      </w:r>
      <w:r>
        <w:rPr>
          <w:rFonts w:ascii="Times New Roman" w:eastAsia="仿宋_GB2312" w:hAnsi="Times New Roman" w:cs="Times New Roman"/>
          <w:sz w:val="32"/>
          <w:szCs w:val="32"/>
        </w:rPr>
        <w:lastRenderedPageBreak/>
        <w:t>发展。</w:t>
      </w:r>
      <w:bookmarkStart w:id="137" w:name="_Hlk56253862"/>
    </w:p>
    <w:p w:rsidR="00B9739B" w:rsidRDefault="00B24D01">
      <w:pPr>
        <w:spacing w:line="360" w:lineRule="auto"/>
        <w:ind w:firstLineChars="200" w:firstLine="643"/>
        <w:rPr>
          <w:rFonts w:ascii="Times New Roman" w:eastAsia="仿宋_GB2312" w:hAnsi="Times New Roman" w:cs="Times New Roman"/>
          <w:b/>
          <w:bCs/>
          <w:sz w:val="32"/>
          <w:szCs w:val="32"/>
        </w:rPr>
      </w:pPr>
      <w:bookmarkStart w:id="138" w:name="_Toc13385"/>
      <w:bookmarkStart w:id="139" w:name="_Toc2364"/>
      <w:r>
        <w:rPr>
          <w:rFonts w:ascii="Times New Roman" w:eastAsia="仿宋_GB2312" w:hAnsi="Times New Roman" w:cs="Times New Roman"/>
          <w:b/>
          <w:bCs/>
          <w:sz w:val="32"/>
          <w:szCs w:val="32"/>
        </w:rPr>
        <w:t>三、丰富旅游业产品与线路</w:t>
      </w:r>
      <w:bookmarkStart w:id="140" w:name="_Hlk56253934"/>
      <w:bookmarkEnd w:id="137"/>
      <w:bookmarkEnd w:id="138"/>
      <w:bookmarkEnd w:id="13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发三位一体旅游经济。不断优化旅游线路串联、丰富旅游产品依托航空、高铁、公路三位一体的旅游交通网络，开发航空度假游、高铁周末游、公路自驾游，突出区域联动，加强与周边地区信息互动和资源整合，实现旅游产品结构由观光为主向观光、休闲、度假复合发展转变。</w:t>
      </w: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发码头旅游经济。充分挖掘松花江旅游资源，拟在松花江建设内陆码头，承担包括旅游观光、集装箱运输、沿途货运以及口岸服务等功能。通过松花江内陆码头的建设和运营，打造养生度假、温泉保健、避暑休闲、健康食品等系列旅游设施</w:t>
      </w:r>
      <w:bookmarkEnd w:id="140"/>
      <w:r>
        <w:rPr>
          <w:rFonts w:ascii="Times New Roman" w:eastAsia="仿宋_GB2312" w:hAnsi="Times New Roman" w:cs="Times New Roman"/>
          <w:sz w:val="32"/>
          <w:szCs w:val="32"/>
        </w:rPr>
        <w:t>，带动周边区域相关产业的集聚发展，带动抚松经济发展。形成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全域、全季、全业态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大旅游格局。</w:t>
      </w:r>
      <w:bookmarkStart w:id="141" w:name="_Hlk56254119"/>
    </w:p>
    <w:p w:rsidR="00B9739B" w:rsidRDefault="00B24D01">
      <w:pPr>
        <w:spacing w:line="360" w:lineRule="auto"/>
        <w:ind w:firstLineChars="200" w:firstLine="643"/>
        <w:rPr>
          <w:rFonts w:ascii="Times New Roman" w:eastAsia="仿宋_GB2312" w:hAnsi="Times New Roman" w:cs="Times New Roman"/>
          <w:b/>
          <w:bCs/>
          <w:sz w:val="32"/>
          <w:szCs w:val="32"/>
        </w:rPr>
      </w:pPr>
      <w:bookmarkStart w:id="142" w:name="_Toc27059"/>
      <w:bookmarkStart w:id="143" w:name="_Toc20115"/>
      <w:bookmarkStart w:id="144" w:name="_Hlk56254132"/>
      <w:bookmarkEnd w:id="141"/>
      <w:r>
        <w:rPr>
          <w:rFonts w:ascii="Times New Roman" w:eastAsia="仿宋_GB2312" w:hAnsi="Times New Roman" w:cs="Times New Roman"/>
          <w:b/>
          <w:bCs/>
          <w:sz w:val="32"/>
          <w:szCs w:val="32"/>
        </w:rPr>
        <w:t>四、提升全域旅游服务标准</w:t>
      </w:r>
      <w:bookmarkEnd w:id="142"/>
      <w:bookmarkEnd w:id="143"/>
    </w:p>
    <w:p w:rsidR="00B9739B" w:rsidRDefault="00B24D01">
      <w:pPr>
        <w:spacing w:line="360" w:lineRule="auto"/>
        <w:ind w:firstLineChars="200" w:firstLine="640"/>
        <w:rPr>
          <w:rFonts w:ascii="Times New Roman" w:hAnsi="Times New Roman" w:cs="Times New Roman"/>
        </w:rPr>
      </w:pPr>
      <w:r>
        <w:rPr>
          <w:rFonts w:ascii="Times New Roman" w:eastAsia="仿宋_GB2312" w:hAnsi="Times New Roman" w:cs="Times New Roman"/>
          <w:sz w:val="32"/>
          <w:szCs w:val="32"/>
        </w:rPr>
        <w:t>建立健全与国际标准相衔接的旅游要素服务体系，提升景区、住宿、餐饮、交通、旅行社、娱乐购物等行业国际服务水准。提高交通便捷水平。构建以高铁为引领、公路铁路为基础的立体交通运输体系。统筹航空、铁路、公路基础设施建设，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航空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产品体系。实施景区交通设施配套服务工程。打通景区道路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最后一公里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，提升景区道路交通等次和安全保障水平。打造特色美食街区。积极引入品牌餐饮店和美食名店，充分利用人参、山葡萄、</w:t>
      </w:r>
      <w:r>
        <w:rPr>
          <w:rFonts w:ascii="Times New Roman" w:eastAsia="仿宋_GB2312" w:hAnsi="Times New Roman" w:cs="Times New Roman"/>
          <w:sz w:val="32"/>
          <w:szCs w:val="32"/>
        </w:rPr>
        <w:lastRenderedPageBreak/>
        <w:t>林蛙油、蜂产品等健康食品资源，推出人参宴、民俗宴等特色美食名宴，丰富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抚松味道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旅游产品体系。弘扬抚松民俗文化。以人参博物馆、抚松长白山人参节、抚松山神老把头节为文化载体，完善市域文博旅游产业，扩大域外知名度和影响力。促进星级饭店、主题酒店、度假酒店、乡村民宿等多种业态均衡发展。</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45" w:name="_Toc25122"/>
      <w:bookmarkStart w:id="146" w:name="_Toc3552"/>
      <w:bookmarkStart w:id="147" w:name="_Hlk56254301"/>
      <w:bookmarkEnd w:id="144"/>
      <w:r>
        <w:rPr>
          <w:rFonts w:ascii="Times New Roman" w:eastAsia="仿宋_GB2312" w:hAnsi="Times New Roman" w:cs="Times New Roman"/>
          <w:b/>
          <w:bCs/>
          <w:sz w:val="32"/>
          <w:szCs w:val="32"/>
        </w:rPr>
        <w:t>五、科学谋划旅游营销战略</w:t>
      </w:r>
      <w:bookmarkEnd w:id="145"/>
      <w:bookmarkEnd w:id="14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持续提升文旅品牌影响力，使文化旅游业成为抚松县国民经济的主导产业、现代服务业的龙头产业。加强针对目标客群在交通出行、旅游消费、游后返程阶段的营销渠道建设，协调开通长春至抚松旅游运营专线。加大旅游宣传和营销力度，全力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嬉冰雪、浴温泉、赏雾淞、过大年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特色旅游品牌和长白山之夏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休闲、避暑、度假特色旅游品牌。深度打造抚松长白山人参节、抚松山神老把头节、露水河森林狩猎文化节等特色旅游</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活动，挖掘人参文化符号，打造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人参之乡、上游抚松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人参城市美誉。举办抚松森林避暑季、锦江满族文化节、兴隆乡村艺术节、特色采摘季、仙人桥温泉冰雪节、抚松山珍美食节等旅游节庆活动，突出人参文化元素，筹办人参美食大赛等赛事活动。以蓝莓、水果、坚果、山野菜、历史画册等旅游商品，着力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森林人家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森林体验基地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等森林旅游品牌，探索推进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红色教育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研学旅行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旅游新模式，满足游客多方面消费需求。</w:t>
      </w:r>
      <w:bookmarkEnd w:id="147"/>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48" w:name="_Toc24946"/>
      <w:r>
        <w:rPr>
          <w:rFonts w:ascii="Times New Roman" w:eastAsia="楷体" w:hAnsi="Times New Roman" w:cs="Times New Roman"/>
          <w:szCs w:val="32"/>
        </w:rPr>
        <w:lastRenderedPageBreak/>
        <w:t>第五节</w:t>
      </w:r>
      <w:r>
        <w:rPr>
          <w:rFonts w:ascii="Times New Roman" w:eastAsia="楷体" w:hAnsi="Times New Roman" w:cs="Times New Roman"/>
          <w:szCs w:val="32"/>
        </w:rPr>
        <w:t xml:space="preserve">  </w:t>
      </w:r>
      <w:r>
        <w:rPr>
          <w:rFonts w:ascii="Times New Roman" w:eastAsia="楷体" w:hAnsi="Times New Roman" w:cs="Times New Roman"/>
          <w:szCs w:val="32"/>
        </w:rPr>
        <w:t>加快发展医药产业，打造世界中医药材之都</w:t>
      </w:r>
      <w:bookmarkEnd w:id="14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立足特色产业资源优势，面向人民健康生活重大需求，积极打造中医药特色生物产业，稳步推进中医药产品开发和产业化发展，建设全省乃至全国重要医药产业基地。</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49" w:name="_Toc27913"/>
      <w:bookmarkStart w:id="150" w:name="_Toc11875"/>
      <w:r>
        <w:rPr>
          <w:rFonts w:ascii="Times New Roman" w:eastAsia="仿宋_GB2312" w:hAnsi="Times New Roman" w:cs="Times New Roman"/>
          <w:b/>
          <w:bCs/>
          <w:sz w:val="32"/>
          <w:szCs w:val="32"/>
        </w:rPr>
        <w:t>一、做强现代中药产业</w:t>
      </w:r>
      <w:bookmarkEnd w:id="149"/>
      <w:bookmarkEnd w:id="150"/>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医药健康产业发展壮大工程，依托国药集团、修正药业集团股份有限公司、抚松县中药有限责任公司等品牌效应，主动适应国家医药政策调整变化，立足做强现代中药产业，加大企业医药科研投入，进一步提升科研开发和成果转化能力，加快现代中药新品种产业化。</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51" w:name="_Toc27859"/>
      <w:bookmarkStart w:id="152" w:name="_Toc17396"/>
      <w:r>
        <w:rPr>
          <w:rFonts w:ascii="Times New Roman" w:eastAsia="仿宋_GB2312" w:hAnsi="Times New Roman" w:cs="Times New Roman"/>
          <w:b/>
          <w:bCs/>
          <w:sz w:val="32"/>
          <w:szCs w:val="32"/>
        </w:rPr>
        <w:t>二、深度挖掘现有存量</w:t>
      </w:r>
      <w:bookmarkEnd w:id="151"/>
      <w:bookmarkEnd w:id="152"/>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力支持肽谷生物、安东参业、大自然、中草集化妆品、长白山资源与健康研究院、吉林汇参堂中药饮片科技有限公司等企业加大人参保健品、化妆品和生物制品开发力度。加快引进研发中心和优质医药企业，构建以化学药品、天然药、中成药和生物制药为主体的医药产业集群，积极推进以长白山道地中药材为基源的新药创制，加快推进中药新药研发和传统优势品种深度开发。</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53" w:name="_Toc27741"/>
      <w:bookmarkStart w:id="154" w:name="_Toc28662"/>
      <w:r>
        <w:rPr>
          <w:rFonts w:ascii="Times New Roman" w:eastAsia="仿宋_GB2312" w:hAnsi="Times New Roman" w:cs="Times New Roman"/>
          <w:b/>
          <w:bCs/>
          <w:sz w:val="32"/>
          <w:szCs w:val="32"/>
        </w:rPr>
        <w:t>三、开发提升加工质量</w:t>
      </w:r>
      <w:bookmarkEnd w:id="153"/>
      <w:bookmarkEnd w:id="15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以资源为依托，以资产为纽带，引进省内外大型中医药企业，促进资源向优势企业集中，培育一批具有较强竞争力的中药材加工企业，加快培育现代中医药大品种，发展中药</w:t>
      </w:r>
      <w:r>
        <w:rPr>
          <w:rFonts w:ascii="Times New Roman" w:eastAsia="仿宋_GB2312" w:hAnsi="Times New Roman" w:cs="Times New Roman"/>
          <w:sz w:val="32"/>
          <w:szCs w:val="32"/>
        </w:rPr>
        <w:lastRenderedPageBreak/>
        <w:t>配方颗粒，开发保健品、药膳和药食同源中药材等系列产品，扩大中医药生产加工规模，提高产品附加值，促进中医药生产加工集约化、规范化发展，做强做大中医药加工产业。</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55" w:name="_Toc27736"/>
      <w:bookmarkStart w:id="156" w:name="_Toc6116"/>
      <w:r>
        <w:rPr>
          <w:rFonts w:ascii="Times New Roman" w:eastAsia="仿宋_GB2312" w:hAnsi="Times New Roman" w:cs="Times New Roman"/>
          <w:b/>
          <w:bCs/>
          <w:sz w:val="32"/>
          <w:szCs w:val="32"/>
        </w:rPr>
        <w:t>四、开发特色养生保健</w:t>
      </w:r>
      <w:bookmarkEnd w:id="155"/>
      <w:bookmarkEnd w:id="15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挥中药促进人体增强免疫力、抗衰老、抗疲劳等方面的保健作用，开发高附加值保健品，以人参、五味子、林蛙等大宗名贵动植物为原料，开发符合国家规定的有助于增强免疫力、降低血脂功能的高附加值保健品。开发营养素、补充剂和生物技术保健品，提升科研能力，开发氨基酸、微量元素补充剂、活性肽、胶原蛋白等生物保健品。推进中药向预防、康复、养生保健等方向延伸发展；开发保健功能食品、药膳、药妆、功能性日用品等系列产品。加强中医药服务与旅游资源、旅游文化等方面的有机融合。鼓励社会力量兴办医养结合机构，增强社区健康养老服务功能，实现卫生医疗与养老服务资源共享。</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57" w:name="_Toc16049"/>
      <w:bookmarkStart w:id="158" w:name="_Toc1544"/>
      <w:r>
        <w:rPr>
          <w:rFonts w:ascii="Times New Roman" w:eastAsia="仿宋_GB2312" w:hAnsi="Times New Roman" w:cs="Times New Roman"/>
          <w:b/>
          <w:bCs/>
          <w:sz w:val="32"/>
          <w:szCs w:val="32"/>
        </w:rPr>
        <w:t>五、加强对外交流合作</w:t>
      </w:r>
      <w:bookmarkEnd w:id="157"/>
      <w:bookmarkEnd w:id="15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发挥中医药资源和文化优势，举办中医药产业博览会，扶持优秀中医药企业，加大与国外高等院校、研究机构、医疗机构和生产企业的合作，通过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以医带药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以药促医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，推动中医药走出去。</w:t>
      </w:r>
    </w:p>
    <w:p w:rsidR="00B9739B" w:rsidRDefault="00B24D01" w:rsidP="00BC2915">
      <w:pPr>
        <w:spacing w:afterLines="100" w:line="360" w:lineRule="auto"/>
        <w:jc w:val="center"/>
        <w:outlineLvl w:val="0"/>
        <w:rPr>
          <w:rFonts w:ascii="Times New Roman" w:eastAsia="黑体" w:hAnsi="Times New Roman" w:cs="Times New Roman"/>
          <w:sz w:val="32"/>
          <w:szCs w:val="32"/>
        </w:rPr>
      </w:pPr>
      <w:r>
        <w:rPr>
          <w:rFonts w:ascii="Times New Roman" w:eastAsia="仿宋_GB2312" w:hAnsi="Times New Roman" w:cs="Times New Roman"/>
          <w:sz w:val="32"/>
          <w:szCs w:val="32"/>
        </w:rPr>
        <w:br w:type="page"/>
      </w:r>
      <w:bookmarkStart w:id="159" w:name="_Toc21823"/>
      <w:bookmarkStart w:id="160" w:name="_Hlk56254787"/>
      <w:r>
        <w:rPr>
          <w:rFonts w:ascii="Times New Roman" w:eastAsia="黑体" w:hAnsi="Times New Roman" w:cs="Times New Roman"/>
          <w:bCs/>
          <w:sz w:val="36"/>
          <w:szCs w:val="36"/>
        </w:rPr>
        <w:lastRenderedPageBreak/>
        <w:t>第六章</w:t>
      </w:r>
      <w:r>
        <w:rPr>
          <w:rFonts w:ascii="Times New Roman" w:eastAsia="黑体" w:hAnsi="Times New Roman" w:cs="Times New Roman"/>
          <w:bCs/>
          <w:sz w:val="36"/>
          <w:szCs w:val="36"/>
        </w:rPr>
        <w:t xml:space="preserve">  </w:t>
      </w:r>
      <w:hyperlink w:anchor="_Toc34140965" w:history="1">
        <w:r>
          <w:rPr>
            <w:rFonts w:ascii="Times New Roman" w:eastAsia="黑体" w:hAnsi="Times New Roman" w:cs="Times New Roman"/>
            <w:bCs/>
            <w:sz w:val="36"/>
            <w:szCs w:val="36"/>
          </w:rPr>
          <w:t>夯实生态产业发展服务基础</w:t>
        </w:r>
      </w:hyperlink>
      <w:bookmarkEnd w:id="15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以供给侧结构性改革为主线，坚定实施扩大内需战略，以新业态、新模式为引领，推动县域物流、金融、商贸、健康养老等业态创新发展。</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61" w:name="_Toc23308"/>
      <w:bookmarkStart w:id="162" w:name="_Hlk56256567"/>
      <w:bookmarkEnd w:id="160"/>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推进消费产业升级，增加供给提质增效</w:t>
      </w:r>
      <w:bookmarkEnd w:id="16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顺应消费升级趋势，提升传统消费，培育新型消费，扩大服务消费，适当增加公共消费，着力满足个性化、多样化、高品质消费需求。</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63" w:name="_Toc14880"/>
      <w:bookmarkStart w:id="164" w:name="_Toc8829"/>
      <w:r>
        <w:rPr>
          <w:rFonts w:ascii="Times New Roman" w:eastAsia="仿宋_GB2312" w:hAnsi="Times New Roman" w:cs="Times New Roman"/>
          <w:b/>
          <w:bCs/>
          <w:sz w:val="32"/>
          <w:szCs w:val="32"/>
        </w:rPr>
        <w:t>一、推进线上消费产业</w:t>
      </w:r>
      <w:bookmarkEnd w:id="163"/>
      <w:bookmarkEnd w:id="16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持续激发新型消费活力，以消费升级推进产业升级。</w:t>
      </w:r>
      <w:bookmarkEnd w:id="162"/>
      <w:r>
        <w:rPr>
          <w:rFonts w:ascii="Times New Roman" w:eastAsia="仿宋_GB2312" w:hAnsi="Times New Roman" w:cs="Times New Roman"/>
          <w:sz w:val="32"/>
          <w:szCs w:val="32"/>
        </w:rPr>
        <w:t>围绕扩大消费需求、运用现代服务理念、经营模式和信息技术，</w:t>
      </w:r>
      <w:bookmarkStart w:id="165" w:name="_Hlk56256581"/>
      <w:r>
        <w:rPr>
          <w:rFonts w:ascii="Times New Roman" w:eastAsia="仿宋_GB2312" w:hAnsi="Times New Roman" w:cs="Times New Roman"/>
          <w:sz w:val="32"/>
          <w:szCs w:val="32"/>
        </w:rPr>
        <w:t>有序发展抚松在线教育</w:t>
      </w:r>
      <w:bookmarkEnd w:id="165"/>
      <w:r>
        <w:rPr>
          <w:rFonts w:ascii="Times New Roman" w:eastAsia="仿宋_GB2312" w:hAnsi="Times New Roman" w:cs="Times New Roman"/>
          <w:sz w:val="32"/>
          <w:szCs w:val="32"/>
        </w:rPr>
        <w:t>。鼓励教育部门组织抚松第一中学名师讲团开展线上授课，邀约省内中小学校名校名师面向抚松学生线上授课，推动各类数字教育资源共建共享。</w:t>
      </w:r>
      <w:bookmarkStart w:id="166" w:name="_Hlk56256586"/>
      <w:r>
        <w:rPr>
          <w:rFonts w:ascii="Times New Roman" w:eastAsia="仿宋_GB2312" w:hAnsi="Times New Roman" w:cs="Times New Roman"/>
          <w:sz w:val="32"/>
          <w:szCs w:val="32"/>
        </w:rPr>
        <w:t>推进互联网健康医疗，</w:t>
      </w:r>
      <w:bookmarkEnd w:id="166"/>
      <w:r>
        <w:rPr>
          <w:rFonts w:ascii="Times New Roman" w:eastAsia="仿宋_GB2312" w:hAnsi="Times New Roman" w:cs="Times New Roman"/>
          <w:sz w:val="32"/>
          <w:szCs w:val="32"/>
        </w:rPr>
        <w:t>推进预约诊疗、互联网诊疗、电子处方流转、药品网络销售等线上服务。</w:t>
      </w:r>
      <w:bookmarkStart w:id="167" w:name="_Hlk56256600"/>
      <w:r>
        <w:rPr>
          <w:rFonts w:ascii="Times New Roman" w:eastAsia="仿宋_GB2312" w:hAnsi="Times New Roman" w:cs="Times New Roman"/>
          <w:sz w:val="32"/>
          <w:szCs w:val="32"/>
        </w:rPr>
        <w:t>鼓励发展智慧旅游，</w:t>
      </w:r>
      <w:bookmarkEnd w:id="167"/>
      <w:r>
        <w:rPr>
          <w:rFonts w:ascii="Times New Roman" w:eastAsia="仿宋_GB2312" w:hAnsi="Times New Roman" w:cs="Times New Roman"/>
          <w:sz w:val="32"/>
          <w:szCs w:val="32"/>
        </w:rPr>
        <w:t>提升旅游智能化、便利化水平，加快推进旅游综合服务平台建设。</w:t>
      </w:r>
      <w:bookmarkStart w:id="168" w:name="_Hlk56256621"/>
      <w:r>
        <w:rPr>
          <w:rFonts w:ascii="Times New Roman" w:eastAsia="仿宋_GB2312" w:hAnsi="Times New Roman" w:cs="Times New Roman"/>
          <w:sz w:val="32"/>
          <w:szCs w:val="32"/>
        </w:rPr>
        <w:t>大力发展智能体育，</w:t>
      </w:r>
      <w:bookmarkEnd w:id="168"/>
      <w:r>
        <w:rPr>
          <w:rFonts w:ascii="Times New Roman" w:eastAsia="仿宋_GB2312" w:hAnsi="Times New Roman" w:cs="Times New Roman"/>
          <w:sz w:val="32"/>
          <w:szCs w:val="32"/>
        </w:rPr>
        <w:t>培育在线健身等体育消费新业态</w:t>
      </w:r>
      <w:bookmarkStart w:id="169" w:name="_Hlk56256659"/>
      <w:r>
        <w:rPr>
          <w:rFonts w:ascii="Times New Roman" w:eastAsia="仿宋_GB2312" w:hAnsi="Times New Roman" w:cs="Times New Roman"/>
          <w:sz w:val="32"/>
          <w:szCs w:val="32"/>
        </w:rPr>
        <w:t>，形成多元化的商业模式。</w:t>
      </w:r>
      <w:bookmarkStart w:id="170" w:name="_Hlk56256844"/>
      <w:bookmarkStart w:id="171" w:name="_Toc62651929"/>
      <w:bookmarkStart w:id="172" w:name="_Toc57880724"/>
      <w:bookmarkEnd w:id="169"/>
    </w:p>
    <w:p w:rsidR="00B9739B" w:rsidRDefault="00B24D01">
      <w:pPr>
        <w:spacing w:line="360" w:lineRule="auto"/>
        <w:ind w:firstLineChars="200" w:firstLine="643"/>
        <w:rPr>
          <w:rFonts w:ascii="Times New Roman" w:eastAsia="仿宋_GB2312" w:hAnsi="Times New Roman" w:cs="Times New Roman"/>
          <w:b/>
          <w:bCs/>
          <w:sz w:val="32"/>
          <w:szCs w:val="32"/>
        </w:rPr>
      </w:pPr>
      <w:bookmarkStart w:id="173" w:name="_Toc20966"/>
      <w:bookmarkStart w:id="174" w:name="_Toc26412"/>
      <w:r>
        <w:rPr>
          <w:rFonts w:ascii="Times New Roman" w:eastAsia="仿宋_GB2312" w:hAnsi="Times New Roman" w:cs="Times New Roman"/>
          <w:b/>
          <w:bCs/>
          <w:sz w:val="32"/>
          <w:szCs w:val="32"/>
        </w:rPr>
        <w:t>二、创新健康养老模式</w:t>
      </w:r>
      <w:bookmarkStart w:id="175" w:name="_Hlk56256960"/>
      <w:bookmarkEnd w:id="170"/>
      <w:bookmarkEnd w:id="173"/>
      <w:bookmarkEnd w:id="17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政府主导、市场运作、公益服务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的医养结合模式，</w:t>
      </w:r>
      <w:r>
        <w:rPr>
          <w:rFonts w:ascii="Times New Roman" w:eastAsia="仿宋_GB2312" w:hAnsi="Times New Roman" w:cs="Times New Roman"/>
          <w:sz w:val="32"/>
          <w:szCs w:val="32"/>
        </w:rPr>
        <w:lastRenderedPageBreak/>
        <w:t>鼓励集康体养生、休闲等于一体的养老、旅游等特色地产发展，</w:t>
      </w:r>
      <w:bookmarkEnd w:id="175"/>
      <w:r>
        <w:rPr>
          <w:rFonts w:ascii="Times New Roman" w:eastAsia="仿宋_GB2312" w:hAnsi="Times New Roman" w:cs="Times New Roman"/>
          <w:sz w:val="32"/>
          <w:szCs w:val="32"/>
        </w:rPr>
        <w:t>提高老龄人口健康服务能力，确保实现老有所养。不断完善社区服务中心和居家养老服务中心、家政服务公司等平台，开展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助医、助急、助洁、助餐、助浴</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于一体的居家养老服务。</w:t>
      </w:r>
      <w:bookmarkStart w:id="176" w:name="_Hlk56256977"/>
      <w:r>
        <w:rPr>
          <w:rFonts w:ascii="Times New Roman" w:eastAsia="仿宋_GB2312" w:hAnsi="Times New Roman" w:cs="Times New Roman"/>
          <w:sz w:val="32"/>
          <w:szCs w:val="32"/>
        </w:rPr>
        <w:t>支持医疗卫生机构开展养老服务，鼓励抚松县医疗机构兴办医养结合机构</w:t>
      </w:r>
      <w:bookmarkEnd w:id="176"/>
      <w:r>
        <w:rPr>
          <w:rFonts w:ascii="Times New Roman" w:eastAsia="仿宋_GB2312" w:hAnsi="Times New Roman" w:cs="Times New Roman"/>
          <w:sz w:val="32"/>
          <w:szCs w:val="32"/>
        </w:rPr>
        <w:t>；鼓励和引导民间资本投向医养结合养老机构；建立农村医养结合试点，以乡镇卫生院为依托，定期为老年人提供医疗卫生服务，拓宽农村医疗服务范围，保证农村老年人的养老问题。</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77" w:name="_Toc28217"/>
      <w:bookmarkEnd w:id="171"/>
      <w:bookmarkEnd w:id="172"/>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发挥立体交通优势，发展现代物流产业</w:t>
      </w:r>
      <w:bookmarkEnd w:id="177"/>
    </w:p>
    <w:p w:rsidR="00B9739B" w:rsidRDefault="00B24D01">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大力发展现代化物流，增强企业和供应链核心竞争能力，降低企业作业成本，减少市场风险，提高客户服务水平。</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78" w:name="_Toc29400"/>
      <w:bookmarkStart w:id="179" w:name="_Toc23696"/>
      <w:r>
        <w:rPr>
          <w:rFonts w:ascii="Times New Roman" w:eastAsia="仿宋_GB2312" w:hAnsi="Times New Roman" w:cs="Times New Roman"/>
          <w:b/>
          <w:bCs/>
          <w:sz w:val="32"/>
          <w:szCs w:val="32"/>
        </w:rPr>
        <w:t>一、建设大型现代化物流园</w:t>
      </w:r>
      <w:bookmarkEnd w:id="178"/>
      <w:bookmarkEnd w:id="179"/>
    </w:p>
    <w:p w:rsidR="00B9739B" w:rsidRDefault="00B24D01">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进入微利时代的今天，物流已成为企业取得竞争优势的重要源泉。充分把握抚松县空港、高铁、高速公路、铁路、公路立体交通优势，依托旅游、矿泉水、农林特产等优势产业，打造综合与专项物流园区建设，形成以大型综合性物流基地为核心，以专业化物流中心为配套的现代化物流空间为发展方向，建设和扩建长白山空港、松江河铁路、松江河公路、松东临港、南甸子、万良六大物流园区。</w:t>
      </w:r>
    </w:p>
    <w:p w:rsidR="00B9739B" w:rsidRDefault="00B24D01" w:rsidP="00BC2915">
      <w:pPr>
        <w:spacing w:beforeLines="150" w:line="360" w:lineRule="auto"/>
        <w:ind w:firstLineChars="200" w:firstLine="643"/>
        <w:rPr>
          <w:rFonts w:ascii="Times New Roman" w:eastAsia="仿宋_GB2312" w:hAnsi="Times New Roman" w:cs="Times New Roman"/>
          <w:b/>
          <w:bCs/>
          <w:sz w:val="32"/>
          <w:szCs w:val="32"/>
        </w:rPr>
      </w:pPr>
      <w:bookmarkStart w:id="180" w:name="_Toc29332"/>
      <w:bookmarkStart w:id="181" w:name="_Toc28556"/>
      <w:r>
        <w:rPr>
          <w:rFonts w:ascii="Times New Roman" w:eastAsia="仿宋_GB2312" w:hAnsi="Times New Roman" w:cs="Times New Roman"/>
          <w:b/>
          <w:bCs/>
          <w:sz w:val="32"/>
          <w:szCs w:val="32"/>
        </w:rPr>
        <w:lastRenderedPageBreak/>
        <w:t>二、搭建共享物流信息平台</w:t>
      </w:r>
      <w:bookmarkEnd w:id="180"/>
      <w:bookmarkEnd w:id="181"/>
    </w:p>
    <w:p w:rsidR="00B9739B" w:rsidRDefault="00B24D01">
      <w:pPr>
        <w:ind w:firstLineChars="200" w:firstLine="640"/>
        <w:rPr>
          <w:rFonts w:ascii="Times New Roman" w:hAnsi="Times New Roman" w:cs="Times New Roman"/>
        </w:rPr>
      </w:pPr>
      <w:r>
        <w:rPr>
          <w:rFonts w:ascii="Times New Roman" w:eastAsia="仿宋_GB2312" w:hAnsi="Times New Roman" w:cs="Times New Roman"/>
          <w:sz w:val="32"/>
          <w:szCs w:val="32"/>
        </w:rPr>
        <w:t>共享物流信息平台是实现物流各个环节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一站式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服务的基础。是实现政府相关部门之间、企业之间、政府和企业之间数据交换的前提。积极打造与完善行业、企业、专业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集装箱、粮食、建材、水产品、木材等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、物流园区的物流信息处理系统与物流信息网站，搭建抚松新城、泉阳镇、露水河镇三个物流节点和一个与全国联网的抚松县物流信息平台。</w:t>
      </w:r>
      <w:bookmarkStart w:id="182" w:name="_Hlk56256703"/>
      <w:r>
        <w:rPr>
          <w:rFonts w:ascii="Times New Roman" w:eastAsia="仿宋_GB2312" w:hAnsi="Times New Roman" w:cs="Times New Roman"/>
          <w:sz w:val="32"/>
          <w:szCs w:val="32"/>
        </w:rPr>
        <w:t>即围绕绿色食品物流、冷链物流、医药物流等，打造多式联运、共同配送等现代物流节点，形成层次合理、规模适当、分工有序、功能完善的物流园区网络体系。为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临港经济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Start w:id="183" w:name="_Hlk56256721"/>
      <w:r>
        <w:rPr>
          <w:rFonts w:ascii="Times New Roman" w:eastAsia="仿宋_GB2312" w:hAnsi="Times New Roman" w:cs="Times New Roman"/>
          <w:sz w:val="32"/>
          <w:szCs w:val="32"/>
        </w:rPr>
        <w:t>临站经济</w:t>
      </w:r>
      <w:bookmarkEnd w:id="183"/>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发展提供强力支撑。</w:t>
      </w:r>
      <w:bookmarkEnd w:id="182"/>
      <w:r>
        <w:rPr>
          <w:rFonts w:ascii="Times New Roman" w:eastAsia="仿宋_GB2312" w:hAnsi="Times New Roman" w:cs="Times New Roman"/>
          <w:sz w:val="32"/>
          <w:szCs w:val="32"/>
        </w:rPr>
        <w:t>积极发展第三方物流，吸引国际、国内知名的物流企业及货代企业设立分支机构。</w:t>
      </w:r>
      <w:bookmarkStart w:id="184" w:name="_Toc57880725"/>
      <w:bookmarkStart w:id="185" w:name="_Toc62651930"/>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86" w:name="_Toc11879"/>
      <w:bookmarkEnd w:id="184"/>
      <w:bookmarkEnd w:id="185"/>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创新金融服务模式，促进生态产业发展</w:t>
      </w:r>
      <w:bookmarkEnd w:id="18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绿色金融是指金融机构积极支持节能环保项目融资的行为，是将绿水青山变为金山银山的重要市场手段。</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87" w:name="_Toc8871"/>
      <w:bookmarkStart w:id="188" w:name="_Toc7349"/>
      <w:r>
        <w:rPr>
          <w:rFonts w:ascii="Times New Roman" w:eastAsia="仿宋_GB2312" w:hAnsi="Times New Roman" w:cs="Times New Roman"/>
          <w:b/>
          <w:bCs/>
          <w:sz w:val="32"/>
          <w:szCs w:val="32"/>
        </w:rPr>
        <w:t>一、强化绿色金融支撑</w:t>
      </w:r>
      <w:bookmarkEnd w:id="187"/>
      <w:bookmarkEnd w:id="18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大金融对生态项目融资支持，充分发挥金融在生态产业发展中的引导及支撑保障作用，争取上级政府及金融机构支持与扶持，对资金不足的大生态产业予以金融支撑。尤其对在清水泉、泉阳泉、锦江泉涉及到水源地周边清水河村、泉阳河子村和长松村进行生态移民拆迁所承担的生态补偿</w:t>
      </w:r>
      <w:r>
        <w:rPr>
          <w:rFonts w:ascii="Times New Roman" w:eastAsia="仿宋_GB2312" w:hAnsi="Times New Roman" w:cs="Times New Roman"/>
          <w:sz w:val="32"/>
          <w:szCs w:val="32"/>
        </w:rPr>
        <w:lastRenderedPageBreak/>
        <w:t>和生态移民资金给予支持和帮助。</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89" w:name="_Toc18608"/>
      <w:bookmarkStart w:id="190" w:name="_Toc29840"/>
      <w:r>
        <w:rPr>
          <w:rFonts w:ascii="Times New Roman" w:eastAsia="仿宋_GB2312" w:hAnsi="Times New Roman" w:cs="Times New Roman"/>
          <w:b/>
          <w:bCs/>
          <w:sz w:val="32"/>
          <w:szCs w:val="32"/>
        </w:rPr>
        <w:t>二、构建绿色金融市场</w:t>
      </w:r>
      <w:bookmarkEnd w:id="189"/>
      <w:bookmarkEnd w:id="190"/>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一步强化对绿色产业的金融服务力度，加大对节能环保、清洁能源等领域的金融支持。通过与金融机构协调合作，积极发展以金融支持支柱产业绿色改造升级为主线，对抚松县环保、节能、清洁能源、绿色交通、绿色建筑等领域项目投融资、项目运营、风险管理等提供金融服务。以绿色信贷、绿色债券、绿色保险、绿色基金等多种金融产品创新为主导，围绕松江河镇、抚松镇、万良镇等布局绿色金融机构，逐步建立多元化、广覆盖的抚松县绿色金融市场体系，着力把绿色金融打造成抚松县绿色发展的引擎。</w:t>
      </w:r>
      <w:bookmarkStart w:id="191" w:name="_Toc62651931"/>
      <w:bookmarkStart w:id="192" w:name="_Toc57880726"/>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193" w:name="_Toc2667"/>
      <w:bookmarkEnd w:id="191"/>
      <w:bookmarkEnd w:id="192"/>
      <w:r>
        <w:rPr>
          <w:rFonts w:ascii="Times New Roman" w:eastAsia="楷体" w:hAnsi="Times New Roman" w:cs="Times New Roman"/>
          <w:szCs w:val="32"/>
        </w:rPr>
        <w:t>第四节</w:t>
      </w:r>
      <w:r>
        <w:rPr>
          <w:rFonts w:ascii="Times New Roman" w:eastAsia="楷体" w:hAnsi="Times New Roman" w:cs="Times New Roman"/>
          <w:szCs w:val="32"/>
        </w:rPr>
        <w:t xml:space="preserve">  </w:t>
      </w:r>
      <w:r>
        <w:rPr>
          <w:rFonts w:ascii="Times New Roman" w:eastAsia="楷体" w:hAnsi="Times New Roman" w:cs="Times New Roman"/>
          <w:szCs w:val="32"/>
        </w:rPr>
        <w:t>培育孵化电子商贸，提升商贸服务水平</w:t>
      </w:r>
      <w:bookmarkEnd w:id="19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加速推进电子商务建设。围绕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建基地、搭平台、开直播、促融合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目标，积极培育商贸集聚区，鼓励直播电商创业，通过电子商贸平台载体，做大做强长白山生态产品集散中心，促进抚松生态产业划时代高质量发展。</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94" w:name="_Toc13332"/>
      <w:bookmarkStart w:id="195" w:name="_Toc3704"/>
      <w:bookmarkStart w:id="196" w:name="_Toc18182"/>
      <w:r>
        <w:rPr>
          <w:rFonts w:ascii="Times New Roman" w:eastAsia="仿宋_GB2312" w:hAnsi="Times New Roman" w:cs="Times New Roman"/>
          <w:b/>
          <w:bCs/>
          <w:sz w:val="32"/>
          <w:szCs w:val="32"/>
        </w:rPr>
        <w:t>一、建设县域新电商</w:t>
      </w:r>
      <w:bookmarkEnd w:id="194"/>
      <w:r>
        <w:rPr>
          <w:rFonts w:ascii="Times New Roman" w:eastAsia="仿宋_GB2312" w:hAnsi="Times New Roman" w:cs="Times New Roman"/>
          <w:b/>
          <w:bCs/>
          <w:sz w:val="32"/>
          <w:szCs w:val="32"/>
        </w:rPr>
        <w:t>经济核心区</w:t>
      </w:r>
      <w:bookmarkEnd w:id="195"/>
      <w:bookmarkEnd w:id="19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在抚松新城内建设新电商产业园区。坚持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政府引导、核心定位、适度建设、产品过硬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原则，高起点、高质量快速推进新电商经济核心区建设、招商、推介以及企业入驻等各项工作。在抚松新城及外围重点镇发展大型超市、互联网商贸</w:t>
      </w:r>
      <w:r>
        <w:rPr>
          <w:rFonts w:ascii="Times New Roman" w:eastAsia="仿宋_GB2312" w:hAnsi="Times New Roman" w:cs="Times New Roman"/>
          <w:sz w:val="32"/>
          <w:szCs w:val="32"/>
        </w:rPr>
        <w:lastRenderedPageBreak/>
        <w:t>等新业态，建设购物、餐饮、娱乐等专业街，在城镇各社区和农村建设便民超市等综合服务店；打造万良商贸流通人参特色小镇，实现价格形成中心、产业信息中心、科技交流中心、会展贸易中心、物流集散中心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五大中心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功能，实现供应链企业、平台企业、互联网金融机构、</w:t>
      </w:r>
      <w:r>
        <w:rPr>
          <w:rFonts w:ascii="Times New Roman" w:eastAsia="仿宋_GB2312" w:hAnsi="Times New Roman" w:cs="Times New Roman"/>
          <w:sz w:val="32"/>
          <w:szCs w:val="32"/>
        </w:rPr>
        <w:t>MCN</w:t>
      </w:r>
      <w:r>
        <w:rPr>
          <w:rFonts w:ascii="Times New Roman" w:eastAsia="仿宋_GB2312" w:hAnsi="Times New Roman" w:cs="Times New Roman"/>
          <w:sz w:val="32"/>
          <w:szCs w:val="32"/>
        </w:rPr>
        <w:t>机构、人才孵化、物流仓储配送等高度集聚的县域新电商经济核心区。</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197" w:name="_Toc24373"/>
      <w:bookmarkStart w:id="198" w:name="_Toc22088"/>
      <w:bookmarkStart w:id="199" w:name="_Toc1779"/>
      <w:r>
        <w:rPr>
          <w:rFonts w:ascii="Times New Roman" w:eastAsia="仿宋_GB2312" w:hAnsi="Times New Roman" w:cs="Times New Roman"/>
          <w:b/>
          <w:bCs/>
          <w:sz w:val="32"/>
          <w:szCs w:val="32"/>
        </w:rPr>
        <w:t>二、打造新电商经济</w:t>
      </w:r>
      <w:r>
        <w:rPr>
          <w:rFonts w:ascii="Times New Roman" w:eastAsia="仿宋_GB2312" w:hAnsi="Times New Roman" w:cs="Times New Roman"/>
          <w:b/>
          <w:bCs/>
          <w:sz w:val="32"/>
          <w:szCs w:val="32"/>
        </w:rPr>
        <w:t>IP</w:t>
      </w:r>
      <w:r>
        <w:rPr>
          <w:rFonts w:ascii="Times New Roman" w:eastAsia="仿宋_GB2312" w:hAnsi="Times New Roman" w:cs="Times New Roman"/>
          <w:b/>
          <w:bCs/>
          <w:sz w:val="32"/>
          <w:szCs w:val="32"/>
        </w:rPr>
        <w:t>热点</w:t>
      </w:r>
      <w:bookmarkEnd w:id="197"/>
      <w:bookmarkEnd w:id="198"/>
      <w:bookmarkEnd w:id="199"/>
    </w:p>
    <w:p w:rsidR="00B9739B" w:rsidRDefault="00B24D01">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借助新电商运营手段，打造以电商服务中心为主阵地的直播电商集聚区。鼓励大型商超、综合县场、专业市场、传统电商基地、抚松县特色商业街区等进行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新电商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云化改造，孵化一批特色街区成为新电商新消费标志性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打卡地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。推动抚松县大型系列商贸活动开展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线下展销、线上开播</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运营模式销售抚松特色产品；引导住宿、餐饮等商家通过直播拓展业务；支持直播电商平台与特色小吃街合作推出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网红探店</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美食直播</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等消费活动；推出一批展现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抚松人参</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抚松中医药</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抚松矿泉水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等产品直播场景。鼓励非物质文化遗产、老字号品牌、农土特名品等传承人和相关企业开展直播活动，实现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抚松品牌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转型升级。</w:t>
      </w:r>
    </w:p>
    <w:p w:rsidR="00B9739B" w:rsidRDefault="00B24D01">
      <w:pPr>
        <w:jc w:val="center"/>
        <w:outlineLvl w:val="0"/>
        <w:rPr>
          <w:rFonts w:ascii="Times New Roman" w:eastAsia="黑体" w:hAnsi="Times New Roman" w:cs="Times New Roman"/>
          <w:bCs/>
          <w:sz w:val="32"/>
          <w:szCs w:val="32"/>
        </w:rPr>
      </w:pPr>
      <w:r>
        <w:rPr>
          <w:rFonts w:ascii="Times New Roman" w:eastAsia="仿宋_GB2312" w:hAnsi="Times New Roman" w:cs="Times New Roman"/>
          <w:sz w:val="32"/>
          <w:szCs w:val="32"/>
        </w:rPr>
        <w:br w:type="page"/>
      </w:r>
      <w:bookmarkStart w:id="200" w:name="_Toc17323"/>
      <w:r>
        <w:rPr>
          <w:rFonts w:ascii="Times New Roman" w:eastAsia="黑体" w:hAnsi="Times New Roman" w:cs="Times New Roman"/>
          <w:bCs/>
          <w:sz w:val="36"/>
          <w:szCs w:val="36"/>
        </w:rPr>
        <w:lastRenderedPageBreak/>
        <w:t>第七章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提升生态经济发展环境质量</w:t>
      </w:r>
      <w:bookmarkEnd w:id="200"/>
    </w:p>
    <w:p w:rsidR="00B9739B" w:rsidRDefault="00B9739B">
      <w:pPr>
        <w:pStyle w:val="a9"/>
        <w:widowControl/>
        <w:shd w:val="clear" w:color="070000" w:fill="FFFFFF"/>
        <w:spacing w:beforeAutospacing="0" w:afterAutospacing="0" w:line="360" w:lineRule="auto"/>
        <w:ind w:firstLineChars="200" w:firstLine="640"/>
        <w:rPr>
          <w:rFonts w:ascii="Times New Roman" w:eastAsia="仿宋_GB2312" w:hAnsi="Times New Roman" w:cs="Times New Roman"/>
          <w:kern w:val="2"/>
          <w:sz w:val="32"/>
          <w:szCs w:val="32"/>
        </w:rPr>
      </w:pP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认真践行新发展理念，把生态环境问题整改作为一项重大政治任务、重大民生工程来抓好抓实，坚决扛起生态环境保护政治责任，认清职能职责，提高政治站位，加快形成绿色低碳生产生活方式，深入打好污染防治攻坚战。</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01" w:name="_Toc1846"/>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创建</w:t>
      </w:r>
      <w:r>
        <w:rPr>
          <w:rFonts w:ascii="Times New Roman" w:eastAsia="楷体" w:hAnsi="Times New Roman" w:cs="Times New Roman"/>
          <w:szCs w:val="32"/>
        </w:rPr>
        <w:t>“</w:t>
      </w:r>
      <w:r>
        <w:rPr>
          <w:rFonts w:ascii="Times New Roman" w:eastAsia="楷体" w:hAnsi="Times New Roman" w:cs="Times New Roman"/>
          <w:szCs w:val="32"/>
        </w:rPr>
        <w:t>洁净抚松</w:t>
      </w:r>
      <w:r>
        <w:rPr>
          <w:rFonts w:ascii="Times New Roman" w:eastAsia="楷体" w:hAnsi="Times New Roman" w:cs="Times New Roman"/>
          <w:szCs w:val="32"/>
        </w:rPr>
        <w:t>”</w:t>
      </w:r>
      <w:bookmarkEnd w:id="20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以环境整治活动为载体，以改善城乡环境面貌为目标，以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庭院整治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活动为抓手，强化督导，严格问责，大力整治脏、乱、差、散现象。</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02" w:name="_Toc23701"/>
      <w:bookmarkStart w:id="203" w:name="_Toc29853"/>
      <w:r>
        <w:rPr>
          <w:rFonts w:ascii="Times New Roman" w:eastAsia="仿宋_GB2312" w:hAnsi="Times New Roman" w:cs="Times New Roman"/>
          <w:b/>
          <w:bCs/>
          <w:sz w:val="32"/>
          <w:szCs w:val="32"/>
        </w:rPr>
        <w:t>一、开展动态排查行动</w:t>
      </w:r>
      <w:bookmarkEnd w:id="202"/>
      <w:bookmarkEnd w:id="20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不断巩固整改成效，对以往开发过程中形成的污染问题进行严盯死守。严格落实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谁开发、谁保护，谁污染、谁治理，谁主管、谁负责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要求，科学有序推进重大项目建设，不以牺牲生态环境为代价来换取发展。各部门之间要协作配合，齐抓共管抓好生态环境保护工作，切实做到</w:t>
      </w:r>
      <w:r w:rsidR="00BC2915">
        <w:rPr>
          <w:rFonts w:ascii="Times New Roman" w:eastAsia="仿宋_GB2312" w:hAnsi="Times New Roman" w:cs="Times New Roman"/>
          <w:sz w:val="32"/>
          <w:szCs w:val="32"/>
        </w:rPr>
        <w:t>守土有责、守土负责、守土尽责</w:t>
      </w:r>
      <w:r>
        <w:rPr>
          <w:rFonts w:ascii="Times New Roman" w:eastAsia="仿宋_GB2312" w:hAnsi="Times New Roman" w:cs="Times New Roman"/>
          <w:sz w:val="32"/>
          <w:szCs w:val="32"/>
        </w:rPr>
        <w:t>，以更严要求更实举措，持之以恒守护青山绿水。</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04" w:name="_Toc14416"/>
      <w:bookmarkStart w:id="205" w:name="_Toc11401"/>
      <w:r>
        <w:rPr>
          <w:rFonts w:ascii="Times New Roman" w:eastAsia="仿宋_GB2312" w:hAnsi="Times New Roman" w:cs="Times New Roman"/>
          <w:b/>
          <w:bCs/>
          <w:sz w:val="32"/>
          <w:szCs w:val="32"/>
        </w:rPr>
        <w:t>二、抓好示范创建行动</w:t>
      </w:r>
      <w:bookmarkEnd w:id="204"/>
      <w:bookmarkEnd w:id="205"/>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绿水青山就是金山银山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理念，全力抓好生态保护。紧紧围绕创建省级生态旅游示范区建设，全力提升我县旅游</w:t>
      </w:r>
      <w:r>
        <w:rPr>
          <w:rFonts w:ascii="Times New Roman" w:eastAsia="仿宋_GB2312" w:hAnsi="Times New Roman" w:cs="Times New Roman"/>
          <w:sz w:val="32"/>
          <w:szCs w:val="32"/>
        </w:rPr>
        <w:lastRenderedPageBreak/>
        <w:t>知名度美誉度。充分挖掘我县林业优势，积极探索推进碳汇交易，努力把我县的林业优势转变为绿色产业优势，坚决以绿色生态产业推动经济社会发展绿色低碳转型，全力实现经济社会高质量发展与生态环境高水平保护协同共进。</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06" w:name="_Toc25905"/>
      <w:bookmarkStart w:id="207" w:name="_Toc12608"/>
      <w:r>
        <w:rPr>
          <w:rFonts w:ascii="Times New Roman" w:eastAsia="仿宋_GB2312" w:hAnsi="Times New Roman" w:cs="Times New Roman"/>
          <w:b/>
          <w:bCs/>
          <w:sz w:val="32"/>
          <w:szCs w:val="32"/>
        </w:rPr>
        <w:t>三、开展污染防治行动</w:t>
      </w:r>
      <w:bookmarkEnd w:id="206"/>
      <w:bookmarkEnd w:id="207"/>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深入打好污染防治攻坚战</w:t>
      </w:r>
      <w:r>
        <w:rPr>
          <w:rFonts w:ascii="Times New Roman" w:eastAsia="仿宋" w:hAnsi="Times New Roman" w:cs="Times New Roman"/>
          <w:sz w:val="32"/>
          <w:szCs w:val="32"/>
        </w:rPr>
        <w:t>。解决农村秸秆焚烧屡禁不止问题。除秸秆粉碎还田、覆盖还田外，采取催腐剂、复合菌把秸秆集中堆沤，生产优质有机肥料，使农作物秸秆肥料化、饲料化，实现农作物秸秆循环利用，从根源上解决秸秆焚烧问题。</w:t>
      </w:r>
      <w:r>
        <w:rPr>
          <w:rFonts w:ascii="Times New Roman" w:eastAsia="仿宋_GB2312" w:hAnsi="Times New Roman" w:cs="Times New Roman"/>
          <w:kern w:val="2"/>
          <w:sz w:val="32"/>
          <w:szCs w:val="32"/>
        </w:rPr>
        <w:t>打好水源地保护攻坚战、开展城镇污水和黑臭水体专项治理、强化工业污水限期达标整治、加强河流湖库流域综合治理等行动。</w:t>
      </w:r>
      <w:bookmarkStart w:id="208" w:name="_Hlk56251396"/>
      <w:r>
        <w:rPr>
          <w:rFonts w:ascii="Times New Roman" w:eastAsia="仿宋_GB2312" w:hAnsi="Times New Roman" w:cs="Times New Roman"/>
          <w:kern w:val="2"/>
          <w:sz w:val="32"/>
          <w:szCs w:val="32"/>
        </w:rPr>
        <w:t>大力推动头道松花江、松江河抚松段治理等</w:t>
      </w:r>
      <w:r>
        <w:rPr>
          <w:rFonts w:ascii="Times New Roman" w:eastAsia="仿宋_GB2312" w:hAnsi="Times New Roman" w:cs="Times New Roman"/>
          <w:kern w:val="2"/>
          <w:sz w:val="32"/>
          <w:szCs w:val="32"/>
        </w:rPr>
        <w:t>10</w:t>
      </w:r>
      <w:r>
        <w:rPr>
          <w:rFonts w:ascii="Times New Roman" w:eastAsia="仿宋_GB2312" w:hAnsi="Times New Roman" w:cs="Times New Roman"/>
          <w:kern w:val="2"/>
          <w:sz w:val="32"/>
          <w:szCs w:val="32"/>
        </w:rPr>
        <w:t>项水生态治理工程。</w:t>
      </w:r>
      <w:bookmarkEnd w:id="208"/>
      <w:r>
        <w:rPr>
          <w:rFonts w:ascii="Times New Roman" w:eastAsia="仿宋_GB2312" w:hAnsi="Times New Roman" w:cs="Times New Roman"/>
          <w:kern w:val="2"/>
          <w:sz w:val="32"/>
          <w:szCs w:val="32"/>
        </w:rPr>
        <w:t>实施产业园区和工业集中区集中式污水处理，积极开展地下水源地保护、地下水污染治理综合调控等工程设施建设。统筹推进</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提气降碳强生态、增水固土防风险</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强化涉气多污染物协同控制和区域协同治理。健全环境监测监管网格体系，确保空气质量稳定达标。统筹推进环境保护、水生态修复、水污染治理。强化土壤污染防治，编制实施土壤污染治理修复规划，建立土壤污染源头预防和风险管控体系，加强白色污染治理。重视和加强新污染物治理。到</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年，环境空气质量优良率保持在</w:t>
      </w:r>
      <w:r>
        <w:rPr>
          <w:rFonts w:ascii="Times New Roman" w:eastAsia="仿宋_GB2312" w:hAnsi="Times New Roman" w:cs="Times New Roman"/>
          <w:kern w:val="2"/>
          <w:sz w:val="32"/>
          <w:szCs w:val="32"/>
        </w:rPr>
        <w:t>95%</w:t>
      </w:r>
      <w:r>
        <w:rPr>
          <w:rFonts w:ascii="Times New Roman" w:eastAsia="仿宋_GB2312" w:hAnsi="Times New Roman" w:cs="Times New Roman"/>
          <w:kern w:val="2"/>
          <w:sz w:val="32"/>
          <w:szCs w:val="32"/>
        </w:rPr>
        <w:t>以上，地表水</w:t>
      </w:r>
      <w:r>
        <w:rPr>
          <w:rFonts w:ascii="Times New Roman" w:eastAsia="仿宋_GB2312" w:hAnsi="Times New Roman" w:cs="Times New Roman"/>
          <w:kern w:val="2"/>
          <w:sz w:val="32"/>
          <w:szCs w:val="32"/>
        </w:rPr>
        <w:lastRenderedPageBreak/>
        <w:t>水质好于</w:t>
      </w:r>
      <w:r>
        <w:rPr>
          <w:rFonts w:ascii="Times New Roman" w:eastAsia="仿宋_GB2312" w:hAnsi="Times New Roman" w:cs="Times New Roman"/>
          <w:kern w:val="2"/>
          <w:sz w:val="32"/>
          <w:szCs w:val="32"/>
        </w:rPr>
        <w:t>Ⅲ</w:t>
      </w:r>
      <w:r>
        <w:rPr>
          <w:rFonts w:ascii="Times New Roman" w:eastAsia="仿宋_GB2312" w:hAnsi="Times New Roman" w:cs="Times New Roman"/>
          <w:kern w:val="2"/>
          <w:sz w:val="32"/>
          <w:szCs w:val="32"/>
        </w:rPr>
        <w:t>类水体比例达到</w:t>
      </w:r>
      <w:r>
        <w:rPr>
          <w:rFonts w:ascii="Times New Roman" w:eastAsia="仿宋_GB2312" w:hAnsi="Times New Roman" w:cs="Times New Roman"/>
          <w:kern w:val="2"/>
          <w:sz w:val="32"/>
          <w:szCs w:val="32"/>
        </w:rPr>
        <w:t>80%</w:t>
      </w:r>
      <w:r>
        <w:rPr>
          <w:rFonts w:ascii="Times New Roman" w:eastAsia="仿宋_GB2312" w:hAnsi="Times New Roman" w:cs="Times New Roman"/>
          <w:kern w:val="2"/>
          <w:sz w:val="32"/>
          <w:szCs w:val="32"/>
        </w:rPr>
        <w:t>，污染地块安全利用率达到</w:t>
      </w:r>
      <w:r>
        <w:rPr>
          <w:rFonts w:ascii="Times New Roman" w:eastAsia="仿宋_GB2312" w:hAnsi="Times New Roman" w:cs="Times New Roman"/>
          <w:kern w:val="2"/>
          <w:sz w:val="32"/>
          <w:szCs w:val="32"/>
        </w:rPr>
        <w:t>95%</w:t>
      </w:r>
      <w:r>
        <w:rPr>
          <w:rFonts w:ascii="Times New Roman" w:eastAsia="仿宋_GB2312" w:hAnsi="Times New Roman" w:cs="Times New Roman"/>
          <w:kern w:val="2"/>
          <w:sz w:val="32"/>
          <w:szCs w:val="32"/>
        </w:rPr>
        <w:t>以上。</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09" w:name="_Toc28166"/>
      <w:bookmarkStart w:id="210" w:name="_Toc24925"/>
      <w:r>
        <w:rPr>
          <w:rFonts w:ascii="Times New Roman" w:eastAsia="仿宋_GB2312" w:hAnsi="Times New Roman" w:cs="Times New Roman"/>
          <w:b/>
          <w:bCs/>
          <w:sz w:val="32"/>
          <w:szCs w:val="32"/>
        </w:rPr>
        <w:t>四、加大城乡督查力度</w:t>
      </w:r>
      <w:bookmarkEnd w:id="209"/>
      <w:bookmarkEnd w:id="210"/>
    </w:p>
    <w:p w:rsidR="00B9739B" w:rsidRDefault="00B24D01">
      <w:pPr>
        <w:spacing w:line="360" w:lineRule="auto"/>
        <w:ind w:firstLineChars="200" w:firstLine="640"/>
        <w:rPr>
          <w:rFonts w:ascii="Times New Roman" w:hAnsi="Times New Roman" w:cs="Times New Roman"/>
          <w:bCs/>
        </w:rPr>
      </w:pPr>
      <w:r>
        <w:rPr>
          <w:rFonts w:ascii="Times New Roman" w:eastAsia="仿宋_GB2312" w:hAnsi="Times New Roman" w:cs="Times New Roman"/>
          <w:bCs/>
          <w:sz w:val="32"/>
          <w:szCs w:val="32"/>
        </w:rPr>
        <w:t>制定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洁净抚松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活动任务分解表，每月对全乡主要道路沿线及各相关对开展</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清洁抚松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活动情况进行督查，并将</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清洁抚松</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工作纳入对各社区各乡镇各村屯年度目标考核中，确保整治的各项工作落到实处。针对督查中存在的问题，下发整改通知书，提出整改意见，责成有关负责人快速处置。</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11" w:name="_Toc10529"/>
      <w:r>
        <w:rPr>
          <w:rFonts w:ascii="Times New Roman" w:eastAsia="楷体" w:hAnsi="Times New Roman" w:cs="Times New Roman"/>
          <w:szCs w:val="32"/>
        </w:rPr>
        <w:t>第二节</w:t>
      </w:r>
      <w:r>
        <w:rPr>
          <w:rFonts w:ascii="Times New Roman" w:eastAsia="楷体" w:hAnsi="Times New Roman" w:cs="Times New Roman"/>
          <w:szCs w:val="32"/>
        </w:rPr>
        <w:t xml:space="preserve"> </w:t>
      </w:r>
      <w:bookmarkStart w:id="212" w:name="_Hlk56251760"/>
      <w:r>
        <w:rPr>
          <w:rFonts w:ascii="Times New Roman" w:eastAsia="楷体" w:hAnsi="Times New Roman" w:cs="Times New Roman"/>
          <w:szCs w:val="32"/>
        </w:rPr>
        <w:t xml:space="preserve"> </w:t>
      </w:r>
      <w:r>
        <w:rPr>
          <w:rFonts w:ascii="Times New Roman" w:eastAsia="楷体" w:hAnsi="Times New Roman" w:cs="Times New Roman"/>
          <w:szCs w:val="32"/>
        </w:rPr>
        <w:t>推动</w:t>
      </w:r>
      <w:r>
        <w:rPr>
          <w:rFonts w:ascii="Times New Roman" w:eastAsia="楷体" w:hAnsi="Times New Roman" w:cs="Times New Roman"/>
          <w:szCs w:val="32"/>
        </w:rPr>
        <w:t>“</w:t>
      </w:r>
      <w:r>
        <w:rPr>
          <w:rFonts w:ascii="Times New Roman" w:eastAsia="楷体" w:hAnsi="Times New Roman" w:cs="Times New Roman"/>
          <w:szCs w:val="32"/>
        </w:rPr>
        <w:t>两大经济</w:t>
      </w:r>
      <w:r>
        <w:rPr>
          <w:rFonts w:ascii="Times New Roman" w:eastAsia="楷体" w:hAnsi="Times New Roman" w:cs="Times New Roman"/>
          <w:szCs w:val="32"/>
        </w:rPr>
        <w:t>”</w:t>
      </w:r>
      <w:bookmarkEnd w:id="21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提倡物质适度消费、层次消费，建立循环生产和消费观念。改变过去传统的消耗型经济方式，建立节约资源机制，减少环境污染、形成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循环式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节能经济。</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13" w:name="_Toc16121"/>
      <w:bookmarkStart w:id="214" w:name="_Toc17629"/>
      <w:r>
        <w:rPr>
          <w:rFonts w:ascii="Times New Roman" w:eastAsia="仿宋_GB2312" w:hAnsi="Times New Roman" w:cs="Times New Roman"/>
          <w:b/>
          <w:bCs/>
          <w:sz w:val="32"/>
          <w:szCs w:val="32"/>
        </w:rPr>
        <w:t>一、推动发展循环经济</w:t>
      </w:r>
      <w:bookmarkEnd w:id="212"/>
      <w:bookmarkEnd w:id="213"/>
      <w:bookmarkEnd w:id="21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积极研发、引进回收利用新技术，推进秸秆综合利用、林木废弃物及畜禽养殖废弃物资源化利用，全面提升产业附加值和综合利用率。建设城市低值废弃物协同处理利用基地，推广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再生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构建线上线下融合的废旧资源回收和循环利用体系，推动再生资源回收利用体系向山区延伸。开展园区产业废弃物交换利用、能量梯级利用、废水循环利用和污染物集中处理。完善再生资源回收利用体系建设，建立统一收集、专类回收和集中定点处理制度，</w:t>
      </w:r>
      <w:bookmarkStart w:id="215" w:name="_Hlk56252139"/>
      <w:r>
        <w:rPr>
          <w:rFonts w:ascii="Times New Roman" w:eastAsia="仿宋_GB2312" w:hAnsi="Times New Roman" w:cs="Times New Roman"/>
          <w:sz w:val="32"/>
          <w:szCs w:val="32"/>
        </w:rPr>
        <w:t>推进餐厨废弃</w:t>
      </w:r>
      <w:r>
        <w:rPr>
          <w:rFonts w:ascii="Times New Roman" w:eastAsia="仿宋_GB2312" w:hAnsi="Times New Roman" w:cs="Times New Roman"/>
          <w:sz w:val="32"/>
          <w:szCs w:val="32"/>
        </w:rPr>
        <w:lastRenderedPageBreak/>
        <w:t>物、建筑废弃物、农林废弃物资源化利用。</w:t>
      </w:r>
      <w:bookmarkEnd w:id="215"/>
      <w:r>
        <w:rPr>
          <w:rFonts w:ascii="Times New Roman" w:eastAsia="仿宋_GB2312" w:hAnsi="Times New Roman" w:cs="Times New Roman"/>
          <w:sz w:val="32"/>
          <w:szCs w:val="32"/>
        </w:rPr>
        <w:t>引导社会资本投资废弃物收集、处理和资源化利用。</w:t>
      </w:r>
      <w:bookmarkStart w:id="216" w:name="_Toc62651906"/>
      <w:bookmarkStart w:id="217" w:name="_Toc57880701"/>
    </w:p>
    <w:p w:rsidR="00B9739B" w:rsidRDefault="00B24D01">
      <w:pPr>
        <w:spacing w:line="360" w:lineRule="auto"/>
        <w:ind w:firstLineChars="200" w:firstLine="643"/>
        <w:rPr>
          <w:rFonts w:ascii="Times New Roman" w:eastAsia="仿宋_GB2312" w:hAnsi="Times New Roman" w:cs="Times New Roman"/>
          <w:b/>
          <w:bCs/>
          <w:sz w:val="32"/>
          <w:szCs w:val="32"/>
        </w:rPr>
      </w:pPr>
      <w:bookmarkStart w:id="218" w:name="_Toc1981"/>
      <w:bookmarkStart w:id="219" w:name="_Toc8353"/>
      <w:r>
        <w:rPr>
          <w:rFonts w:ascii="Times New Roman" w:eastAsia="仿宋_GB2312" w:hAnsi="Times New Roman" w:cs="Times New Roman"/>
          <w:b/>
          <w:bCs/>
          <w:sz w:val="32"/>
          <w:szCs w:val="32"/>
        </w:rPr>
        <w:t>二、推动发展节能经济</w:t>
      </w:r>
      <w:bookmarkEnd w:id="216"/>
      <w:bookmarkEnd w:id="217"/>
      <w:bookmarkEnd w:id="218"/>
      <w:bookmarkEnd w:id="219"/>
    </w:p>
    <w:p w:rsidR="00B9739B" w:rsidRDefault="00B24D01">
      <w:pPr>
        <w:spacing w:line="360" w:lineRule="auto"/>
        <w:ind w:firstLineChars="200" w:firstLine="640"/>
        <w:rPr>
          <w:rFonts w:ascii="Times New Roman" w:hAnsi="Times New Roman" w:cs="Times New Roman"/>
        </w:rPr>
      </w:pPr>
      <w:r>
        <w:rPr>
          <w:rFonts w:ascii="Times New Roman" w:eastAsia="仿宋_GB2312" w:hAnsi="Times New Roman" w:cs="Times New Roman"/>
          <w:sz w:val="32"/>
          <w:szCs w:val="32"/>
        </w:rPr>
        <w:t>鼓励企业通过加快技术创新提高资源利用能力，对节能减排成果突出的企业，从政策、资金、税收上给予扶持。加强节能减排工作监督，定期开展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整治违法排污企业，保障群众健康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行动，集中力量重点对饮用水源地和工业园区整治情况进行检查，积极推进关停和淘汰落后产能工作。制修订废金属、废旧纺织品、废塑料、废动力电池等再生资源回收利用标准。加快完善水回用标准。制修订林草产业资源循环利用标准。提升全民节能减排意识，节能减排人人有责，人人参与。</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20" w:name="_Toc3690"/>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倡导绿色生活</w:t>
      </w:r>
      <w:bookmarkEnd w:id="220"/>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引导全社会牢固树立生态文明和绿色发展理念，积极践行绿色生产、生活和消费方式，形成崇尚生态文明的良好氛围，营造全社会共同推进绿色生态产业快速发展的优良环境。</w:t>
      </w:r>
    </w:p>
    <w:p w:rsidR="00B9739B" w:rsidRDefault="00B24D01">
      <w:pPr>
        <w:spacing w:line="360" w:lineRule="auto"/>
        <w:ind w:firstLineChars="200" w:firstLine="643"/>
        <w:rPr>
          <w:rFonts w:ascii="Times New Roman" w:eastAsia="仿宋_GB2312" w:hAnsi="Times New Roman" w:cs="Times New Roman"/>
          <w:sz w:val="32"/>
          <w:szCs w:val="32"/>
        </w:rPr>
      </w:pPr>
      <w:bookmarkStart w:id="221" w:name="_Toc3169"/>
      <w:bookmarkStart w:id="222" w:name="_Toc897"/>
      <w:r>
        <w:rPr>
          <w:rFonts w:ascii="Times New Roman" w:eastAsia="仿宋_GB2312" w:hAnsi="Times New Roman" w:cs="Times New Roman"/>
          <w:b/>
          <w:bCs/>
          <w:sz w:val="32"/>
          <w:szCs w:val="32"/>
        </w:rPr>
        <w:t>一、创建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绿色旋律</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活动</w:t>
      </w:r>
      <w:bookmarkEnd w:id="221"/>
      <w:bookmarkEnd w:id="222"/>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深入开展绿色家庭、绿色学校、绿色社区、绿色商场、绿色餐馆等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绿色旋律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系列创建行动，大力提倡共享经济。引导百姓形成文明健康绿色环保的生活风尚，提倡适度消费、层次消费，反对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大量生产、大量消费、大量废弃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的奢侈浪</w:t>
      </w:r>
      <w:r>
        <w:rPr>
          <w:rFonts w:ascii="Times New Roman" w:eastAsia="仿宋_GB2312" w:hAnsi="Times New Roman" w:cs="Times New Roman"/>
          <w:sz w:val="32"/>
          <w:szCs w:val="32"/>
        </w:rPr>
        <w:lastRenderedPageBreak/>
        <w:t>费和不合理消费。倡导分享和共享消费观，提高闲置资产利用效率。倡导使用高效节能家电、照明产品、节能环保汽车；倡导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光盘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行动、绿色出行；构建绿色产品消费体系，建立再生产品推广使用制度和一次性消费品限制使用制度，减少过度包装和一次性用品使用。</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23" w:name="_Toc2594"/>
      <w:bookmarkStart w:id="224" w:name="_Toc14252"/>
      <w:r>
        <w:rPr>
          <w:rFonts w:ascii="Times New Roman" w:eastAsia="仿宋_GB2312" w:hAnsi="Times New Roman" w:cs="Times New Roman"/>
          <w:b/>
          <w:bCs/>
          <w:sz w:val="32"/>
          <w:szCs w:val="32"/>
        </w:rPr>
        <w:t>二、加快推广绿色交通</w:t>
      </w:r>
      <w:bookmarkEnd w:id="223"/>
      <w:bookmarkEnd w:id="224"/>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进交通设施绿色化建设和改造，逐步完善汽车客运站、公共停车场、加油站、旅游景区等场所及主要公路沿线充电基础设施建设，加快老旧车辆更新换代和新能源车辆推广，创新电动车发展商业模式，鼓励共享经济与绿色交通相融合，实现公共交通、非营运车辆新能源车辆全覆盖，县政车电动化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，巡游出租车新能源及清洁能源率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B9739B" w:rsidRDefault="00B24D01">
      <w:pPr>
        <w:jc w:val="center"/>
        <w:outlineLvl w:val="0"/>
        <w:rPr>
          <w:rFonts w:ascii="Times New Roman" w:eastAsia="黑体" w:hAnsi="Times New Roman" w:cs="Times New Roman"/>
          <w:sz w:val="32"/>
          <w:szCs w:val="32"/>
        </w:rPr>
      </w:pPr>
      <w:r>
        <w:rPr>
          <w:rFonts w:ascii="Times New Roman" w:eastAsia="仿宋_GB2312" w:hAnsi="Times New Roman" w:cs="Times New Roman"/>
          <w:sz w:val="32"/>
          <w:szCs w:val="32"/>
        </w:rPr>
        <w:br w:type="page"/>
      </w:r>
      <w:bookmarkStart w:id="225" w:name="_Toc2912"/>
      <w:r>
        <w:rPr>
          <w:rFonts w:ascii="Times New Roman" w:eastAsia="黑体" w:hAnsi="Times New Roman" w:cs="Times New Roman"/>
          <w:bCs/>
          <w:sz w:val="36"/>
          <w:szCs w:val="36"/>
        </w:rPr>
        <w:lastRenderedPageBreak/>
        <w:t>第八章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积极践行碳达峰碳中和行动</w:t>
      </w:r>
      <w:bookmarkEnd w:id="225"/>
    </w:p>
    <w:p w:rsidR="00B9739B" w:rsidRDefault="00B9739B">
      <w:pPr>
        <w:rPr>
          <w:rFonts w:ascii="Times New Roman" w:hAnsi="Times New Roman" w:cs="Times New Roman"/>
        </w:rPr>
      </w:pPr>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实现碳达峰碳中和，是以习近平同志为核心的党中央统筹国内国际两个大局作出的重大战略决策，是着力解决资源环境约束突出问题、实现中华民族永续发展的必然选择。</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26" w:name="_Toc9278"/>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强化绿色低碳发展规范引领</w:t>
      </w:r>
      <w:bookmarkEnd w:id="226"/>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围绕实现碳达峰、碳中和目标要求，坚持以高质量发展为引领坚定不移走生态优先、绿色低碳发展之路，促进抚松经济社会发展实现全面绿色转型。</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27" w:name="_Toc23020"/>
      <w:bookmarkStart w:id="228" w:name="_Toc25914"/>
      <w:r>
        <w:rPr>
          <w:rFonts w:ascii="Times New Roman" w:eastAsia="仿宋_GB2312" w:hAnsi="Times New Roman" w:cs="Times New Roman"/>
          <w:b/>
          <w:bCs/>
          <w:sz w:val="32"/>
          <w:szCs w:val="32"/>
        </w:rPr>
        <w:t>一、双碳目标融入长期规划</w:t>
      </w:r>
      <w:bookmarkEnd w:id="227"/>
      <w:bookmarkEnd w:id="228"/>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强化国土规划管控。严守生态保护红线，严格执行土地使用标准，严控生态空间占用，稳定现有森林、湿地、土壤、动图等固碳作用。严控新增建设用地规模，推动城乡存量建设用地盘活利用。深化全民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建立全社会参与机制，引导全民树牢节约意识、环保意识、生态意识，全面实施节约增效战略，努力营造全社会节能减排浓厚氛围。在生产领域，推进资源全面节约、集约、循环利用，持续推进产业转型升级、降低资源消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在消费领域，倡导简约适度、绿色低碳的生活方式，推动生态环境增值、民生福祉优化。</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29" w:name="_Toc20438"/>
      <w:bookmarkStart w:id="230" w:name="_Toc30900"/>
      <w:r>
        <w:rPr>
          <w:rFonts w:ascii="Times New Roman" w:eastAsia="仿宋_GB2312" w:hAnsi="Times New Roman" w:cs="Times New Roman"/>
          <w:b/>
          <w:bCs/>
          <w:sz w:val="32"/>
          <w:szCs w:val="32"/>
        </w:rPr>
        <w:t>二、开展</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双碳战略</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先试先行</w:t>
      </w:r>
      <w:bookmarkEnd w:id="229"/>
      <w:bookmarkEnd w:id="230"/>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开展碳中和示范区建设。坚持全县一盘棋，制定《抚松县重点领域碳达峰实施方案》，拟以中东部即万良镇、仙人</w:t>
      </w:r>
      <w:r>
        <w:rPr>
          <w:rFonts w:ascii="Times New Roman" w:eastAsia="仿宋_GB2312" w:hAnsi="Times New Roman" w:cs="Times New Roman"/>
          <w:sz w:val="32"/>
          <w:szCs w:val="32"/>
        </w:rPr>
        <w:lastRenderedPageBreak/>
        <w:t>桥镇、泉阳镇、露水河为先导区，打造基础设施和碳排放管理两个零碳综合示范，推动绿色转型，加快高质量发展。拟以南部即漫江镇、抚松镇、松江河镇、东岗镇为源网荷储一体化项目为负荷源，打造县级零碳电力系统，建成抚松县碳中和先行示范区。</w:t>
      </w:r>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城市运行绿色化转型。积极推广应用温拌沥青、智能通风、辅助动力替代和节能灯具、隔声屏障等节能环保先进技术和产品。加大工程建设中废弃资源综合利用力度，推动废旧路面、沥青、疏浚土等材料以及建筑垃圾的资源化利用。</w:t>
      </w:r>
    </w:p>
    <w:p w:rsidR="00B9739B" w:rsidRDefault="00B24D01">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推动城市道路桥梁、公共照明等市政公用设施智能化改造。到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年，抚松县城市管理运行体系日趋精细化，基础设施绿色、智能、协调、安全水平逐步提高。到</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年，所有乡镇基本建成综合管理服务平台。</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31" w:name="_Toc10195"/>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全面实施碳达峰碳中和行动</w:t>
      </w:r>
      <w:bookmarkEnd w:id="231"/>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重塑清洁能源结构，提高提质增效水平，源头减碳，生态固碳。坚定信念，统筹布局，合理规划碳减排路径和方案，为实现碳达峰，碳中和目标而努力奋斗。</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32" w:name="_Toc8820"/>
      <w:bookmarkStart w:id="233" w:name="_Toc18581"/>
      <w:r>
        <w:rPr>
          <w:rFonts w:ascii="Times New Roman" w:eastAsia="仿宋_GB2312" w:hAnsi="Times New Roman" w:cs="Times New Roman"/>
          <w:b/>
          <w:bCs/>
          <w:sz w:val="32"/>
          <w:szCs w:val="32"/>
        </w:rPr>
        <w:t>一、开展</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零碳城乡</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试点工作</w:t>
      </w:r>
      <w:bookmarkEnd w:id="232"/>
      <w:bookmarkEnd w:id="233"/>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推动产业结构优化升级。聚焦抚松县重点领域、行业和区域实现碳达峰碳中和目标的紧迫需求，因地制宜、分类推进绿色低碳技术推广和应用示范，在重点领域部署开展关键技术集成示范，提供系统解决方案，在重点行业部署开展综合技术应用示范，打造转型升级样板，为我县</w:t>
      </w:r>
      <w:r>
        <w:rPr>
          <w:rFonts w:ascii="Times New Roman" w:eastAsia="仿宋_GB2312" w:hAnsi="Times New Roman" w:cs="Times New Roman"/>
          <w:kern w:val="2"/>
          <w:sz w:val="32"/>
          <w:szCs w:val="32"/>
        </w:rPr>
        <w:t>2030</w:t>
      </w:r>
      <w:r>
        <w:rPr>
          <w:rFonts w:ascii="Times New Roman" w:eastAsia="仿宋_GB2312" w:hAnsi="Times New Roman" w:cs="Times New Roman"/>
          <w:kern w:val="2"/>
          <w:sz w:val="32"/>
          <w:szCs w:val="32"/>
        </w:rPr>
        <w:t>年碳达峰目标如期实现提供科技支撑。</w:t>
      </w:r>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深入开展</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低碳城乡</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建设。带动工业源、农业源、生活领域源和其他类的固体废物减排与处置方式转变，减少固体废物产生和排放，协同降低温室气体排放。加强县城绿色低碳建设，推动创建一批低碳乡镇、低碳园区、低碳社区、低碳校区、低碳景区、低碳建筑试点。到</w:t>
      </w:r>
      <w:r>
        <w:rPr>
          <w:rFonts w:ascii="Times New Roman" w:eastAsia="仿宋_GB2312" w:hAnsi="Times New Roman" w:cs="Times New Roman"/>
          <w:kern w:val="2"/>
          <w:sz w:val="32"/>
          <w:szCs w:val="32"/>
        </w:rPr>
        <w:t>2025</w:t>
      </w:r>
      <w:r>
        <w:rPr>
          <w:rFonts w:ascii="Times New Roman" w:eastAsia="仿宋_GB2312" w:hAnsi="Times New Roman" w:cs="Times New Roman"/>
          <w:kern w:val="2"/>
          <w:sz w:val="32"/>
          <w:szCs w:val="32"/>
        </w:rPr>
        <w:t>年，抚松县至少完成</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个近零碳排放社区试点的创建。到</w:t>
      </w:r>
      <w:r>
        <w:rPr>
          <w:rFonts w:ascii="Times New Roman" w:eastAsia="仿宋_GB2312" w:hAnsi="Times New Roman" w:cs="Times New Roman"/>
          <w:kern w:val="2"/>
          <w:sz w:val="32"/>
          <w:szCs w:val="32"/>
        </w:rPr>
        <w:t>2030</w:t>
      </w:r>
      <w:r>
        <w:rPr>
          <w:rFonts w:ascii="Times New Roman" w:eastAsia="仿宋_GB2312" w:hAnsi="Times New Roman" w:cs="Times New Roman"/>
          <w:kern w:val="2"/>
          <w:sz w:val="32"/>
          <w:szCs w:val="32"/>
        </w:rPr>
        <w:t>年，全县建成</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个可推广、可复制、可借鉴的低碳示范区域试点。</w:t>
      </w:r>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创新旅游低碳发展新模式。严守生态底线，确保抚松旅游业走生态优先、绿色低碳高质量发展道路。创建零碳、低碳旅游景区试点，创新低碳旅游形式，开发多样性低碳旅游项目。依托国家生态自然保护区，打造低碳休闲房车营地，谋划低碳露营地，配置低碳旅游设施，建设生态停车场、生态厕所、生态垃圾桶等。促进旅游交通低碳发展。发展低碳旅游酒店，到</w:t>
      </w:r>
      <w:r>
        <w:rPr>
          <w:rFonts w:ascii="Times New Roman" w:eastAsia="仿宋_GB2312" w:hAnsi="Times New Roman" w:cs="Times New Roman"/>
          <w:kern w:val="2"/>
          <w:sz w:val="32"/>
          <w:szCs w:val="32"/>
        </w:rPr>
        <w:t>2030</w:t>
      </w:r>
      <w:r>
        <w:rPr>
          <w:rFonts w:ascii="Times New Roman" w:eastAsia="仿宋_GB2312" w:hAnsi="Times New Roman" w:cs="Times New Roman"/>
          <w:kern w:val="2"/>
          <w:sz w:val="32"/>
          <w:szCs w:val="32"/>
        </w:rPr>
        <w:t>年底，全县所有宾馆、酒店、民宿等场</w:t>
      </w:r>
      <w:r>
        <w:rPr>
          <w:rFonts w:ascii="Times New Roman" w:eastAsia="仿宋_GB2312" w:hAnsi="Times New Roman" w:cs="Times New Roman"/>
          <w:kern w:val="2"/>
          <w:sz w:val="32"/>
          <w:szCs w:val="32"/>
        </w:rPr>
        <w:lastRenderedPageBreak/>
        <w:t>所不再提供一次性塑料用品，可通过设置自助购买机，提供续充型洗洁剂等方式提供相关服务。</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34" w:name="_Toc7824"/>
      <w:bookmarkStart w:id="235" w:name="_Toc3674"/>
      <w:r>
        <w:rPr>
          <w:rFonts w:ascii="Times New Roman" w:eastAsia="仿宋_GB2312" w:hAnsi="Times New Roman" w:cs="Times New Roman"/>
          <w:b/>
          <w:bCs/>
          <w:sz w:val="32"/>
          <w:szCs w:val="32"/>
        </w:rPr>
        <w:t>二、修复生态退化区域功能</w:t>
      </w:r>
      <w:bookmarkEnd w:id="234"/>
      <w:bookmarkEnd w:id="235"/>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全面提升生态服务功能。注重加强自然保护区森林、水系等自然生态系统稳定性。依法依规勘定自然保护区边界，完善自然保护区的管护线路。构建</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天空地</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一体化监测监管体系。对保护价值高的集体土地或附属资源，探索开展租赁、置换、赎买、合作和设立保护地役权等方式创新自然资源有偿使用制度，实现多元化保护。</w:t>
      </w:r>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加强矿山地质环境治理。以恢复矿区植被和动植物栖息地、防止土地沙化和消除地质灾害为目标，通过人工辅助和生态重塑措施，加强露天采场综合治理、实施覆土复垦，恢复矿区植被，提升矿山生态系统服务功能。</w:t>
      </w:r>
    </w:p>
    <w:p w:rsidR="00B9739B" w:rsidRDefault="00B24D01">
      <w:pPr>
        <w:pStyle w:val="a9"/>
        <w:widowControl/>
        <w:shd w:val="clear" w:color="060000" w:fill="FFFFFF"/>
        <w:spacing w:beforeAutospacing="0" w:afterAutospacing="0" w:line="675" w:lineRule="atLeas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加强农田生态系统治理。推进农业面源污染治理，开展轮作休耕和草田轮作，持续推进高标准农田建设，加强盐碱地治理，推行生态种养，发展绿色有机农业、设施农业，提高生态农业效益，提高生态农业和高效农业培育水平。</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36" w:name="_Toc31288"/>
      <w:bookmarkStart w:id="237" w:name="_Toc2985"/>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加快发展林业碳汇市场经济</w:t>
      </w:r>
      <w:bookmarkEnd w:id="236"/>
      <w:bookmarkEnd w:id="237"/>
    </w:p>
    <w:p w:rsidR="00B9739B" w:rsidRDefault="00B24D0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以实现</w:t>
      </w:r>
      <w:r>
        <w:rPr>
          <w:rFonts w:ascii="Times New Roman" w:eastAsia="仿宋" w:hAnsi="Times New Roman" w:cs="Times New Roman"/>
          <w:sz w:val="32"/>
          <w:szCs w:val="32"/>
        </w:rPr>
        <w:t>“</w:t>
      </w:r>
      <w:r>
        <w:rPr>
          <w:rFonts w:ascii="Times New Roman" w:eastAsia="仿宋" w:hAnsi="Times New Roman" w:cs="Times New Roman"/>
          <w:sz w:val="32"/>
          <w:szCs w:val="32"/>
        </w:rPr>
        <w:t>碳达峰</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碳中和</w:t>
      </w:r>
      <w:r>
        <w:rPr>
          <w:rFonts w:ascii="Times New Roman" w:eastAsia="仿宋" w:hAnsi="Times New Roman" w:cs="Times New Roman"/>
          <w:sz w:val="32"/>
          <w:szCs w:val="32"/>
        </w:rPr>
        <w:t>”</w:t>
      </w:r>
      <w:r>
        <w:rPr>
          <w:rFonts w:ascii="Times New Roman" w:eastAsia="仿宋" w:hAnsi="Times New Roman" w:cs="Times New Roman"/>
          <w:sz w:val="32"/>
          <w:szCs w:val="32"/>
        </w:rPr>
        <w:t>双碳目标，除减少二氧化碳排放，提升生态碳汇能力，提升抚松县森林生态系统的碳汇</w:t>
      </w:r>
      <w:r>
        <w:rPr>
          <w:rFonts w:ascii="Times New Roman" w:eastAsia="仿宋" w:hAnsi="Times New Roman" w:cs="Times New Roman"/>
          <w:sz w:val="32"/>
          <w:szCs w:val="32"/>
        </w:rPr>
        <w:lastRenderedPageBreak/>
        <w:t>能力，发挥抚松县碳中和目标过程中起到至关重要的作用。</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38" w:name="_Toc6633"/>
      <w:r>
        <w:rPr>
          <w:rFonts w:ascii="Times New Roman" w:eastAsia="仿宋_GB2312" w:hAnsi="Times New Roman" w:cs="Times New Roman"/>
          <w:b/>
          <w:bCs/>
          <w:sz w:val="32"/>
          <w:szCs w:val="32"/>
        </w:rPr>
        <w:t>一、调动社会力量广泛参与，促进林农就业增收脱贫</w:t>
      </w:r>
      <w:bookmarkEnd w:id="238"/>
    </w:p>
    <w:p w:rsidR="00B9739B" w:rsidRDefault="00B24D01">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加强对碳汇交易的培训和宣传，调动社会团体、企事业单位和个人积极参与林业应对气候变化各项活动。号召有能力的龙头企业，通过林业碳汇项目开发、林业碳汇购买、碳中和补偿等各项林业增汇减排措施，履行社会责任，实现减排、低碳生活、减少碳足迹。在此基础上，鼓励林农通过参与造林、护林、营林等林业碳汇项目，能够获取就业机会和劳务性收入，通过林业碳汇项目偿收益，可为林区部分贫困百姓脱贫提供有效的实现途径。</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39" w:name="_Toc22165"/>
      <w:r>
        <w:rPr>
          <w:rFonts w:ascii="Times New Roman" w:eastAsia="仿宋_GB2312" w:hAnsi="Times New Roman" w:cs="Times New Roman"/>
          <w:b/>
          <w:bCs/>
          <w:sz w:val="32"/>
          <w:szCs w:val="32"/>
        </w:rPr>
        <w:t>二、拓宽林业生态补偿途径，实现碳汇生态价值转换</w:t>
      </w:r>
      <w:bookmarkEnd w:id="239"/>
    </w:p>
    <w:p w:rsidR="00B9739B" w:rsidRDefault="00B24D0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实施多元化补偿机制。政府每季度举办一次碳汇交易活动，将碳汇交易与商业活动、公益活动有机结合，逐步建立起覆盖公众和中小型企业的</w:t>
      </w:r>
      <w:r>
        <w:rPr>
          <w:rFonts w:ascii="Times New Roman" w:eastAsia="仿宋" w:hAnsi="Times New Roman" w:cs="Times New Roman"/>
          <w:sz w:val="32"/>
          <w:szCs w:val="32"/>
        </w:rPr>
        <w:t>“</w:t>
      </w:r>
      <w:r>
        <w:rPr>
          <w:rFonts w:ascii="Times New Roman" w:eastAsia="仿宋" w:hAnsi="Times New Roman" w:cs="Times New Roman"/>
          <w:sz w:val="32"/>
          <w:szCs w:val="32"/>
        </w:rPr>
        <w:t>碳资产</w:t>
      </w:r>
      <w:r w:rsidR="008A4D01">
        <w:rPr>
          <w:rFonts w:ascii="Times New Roman" w:eastAsia="仿宋" w:hAnsi="Times New Roman" w:cs="Times New Roman"/>
          <w:sz w:val="32"/>
          <w:szCs w:val="32"/>
        </w:rPr>
        <w:t>帐户</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碳信用</w:t>
      </w:r>
      <w:r w:rsidR="008A4D01">
        <w:rPr>
          <w:rFonts w:ascii="Times New Roman" w:eastAsia="仿宋" w:hAnsi="Times New Roman" w:cs="Times New Roman"/>
          <w:sz w:val="32"/>
          <w:szCs w:val="32"/>
        </w:rPr>
        <w:t>帐户</w:t>
      </w:r>
      <w:r>
        <w:rPr>
          <w:rFonts w:ascii="Times New Roman" w:eastAsia="仿宋" w:hAnsi="Times New Roman" w:cs="Times New Roman"/>
          <w:sz w:val="32"/>
          <w:szCs w:val="32"/>
        </w:rPr>
        <w:t>”</w:t>
      </w:r>
      <w:r>
        <w:rPr>
          <w:rFonts w:ascii="Times New Roman" w:eastAsia="仿宋" w:hAnsi="Times New Roman" w:cs="Times New Roman"/>
          <w:sz w:val="32"/>
          <w:szCs w:val="32"/>
        </w:rPr>
        <w:t>，实现公众可参与、生态得保护、企业得利益的多赢局面。项目参与者通过开发碳汇项目，有效获得经济收益或补偿。通过碳汇交易活动，拓展林业生态建设和生态保护修复的生态补偿途径，实现碳汇生态产品价值转换，同时践行</w:t>
      </w:r>
      <w:r>
        <w:rPr>
          <w:rFonts w:ascii="Times New Roman" w:eastAsia="仿宋" w:hAnsi="Times New Roman" w:cs="Times New Roman"/>
          <w:sz w:val="32"/>
          <w:szCs w:val="32"/>
        </w:rPr>
        <w:t>“</w:t>
      </w:r>
      <w:r>
        <w:rPr>
          <w:rFonts w:ascii="Times New Roman" w:eastAsia="仿宋" w:hAnsi="Times New Roman" w:cs="Times New Roman"/>
          <w:sz w:val="32"/>
          <w:szCs w:val="32"/>
        </w:rPr>
        <w:t>绿水青山就是金山银山</w:t>
      </w:r>
      <w:r>
        <w:rPr>
          <w:rFonts w:ascii="Times New Roman" w:eastAsia="仿宋" w:hAnsi="Times New Roman" w:cs="Times New Roman"/>
          <w:sz w:val="32"/>
          <w:szCs w:val="32"/>
        </w:rPr>
        <w:t>”</w:t>
      </w:r>
      <w:r>
        <w:rPr>
          <w:rFonts w:ascii="Times New Roman" w:eastAsia="仿宋" w:hAnsi="Times New Roman" w:cs="Times New Roman"/>
          <w:sz w:val="32"/>
          <w:szCs w:val="32"/>
        </w:rPr>
        <w:t>理念。</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40" w:name="_Toc9404"/>
      <w:r>
        <w:rPr>
          <w:rFonts w:ascii="Times New Roman" w:eastAsia="仿宋_GB2312" w:hAnsi="Times New Roman" w:cs="Times New Roman"/>
          <w:b/>
          <w:bCs/>
          <w:sz w:val="32"/>
          <w:szCs w:val="32"/>
        </w:rPr>
        <w:t>三、探索绿色金融相关政策，引导资源流向碳汇领域</w:t>
      </w:r>
      <w:bookmarkEnd w:id="240"/>
    </w:p>
    <w:p w:rsidR="00B9739B" w:rsidRDefault="00B24D0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建立健全林业碳汇金融支持体系，加大对林业碳汇项目开发与交易的财政支持。利用市场机制拓展林业融资渠道，</w:t>
      </w:r>
      <w:r>
        <w:rPr>
          <w:rFonts w:ascii="Times New Roman" w:eastAsia="仿宋" w:hAnsi="Times New Roman" w:cs="Times New Roman"/>
          <w:sz w:val="32"/>
          <w:szCs w:val="32"/>
        </w:rPr>
        <w:lastRenderedPageBreak/>
        <w:t>探索绿色金融相关政策，研究林业碳信用系列金融产品，在碳汇预期收益权质押贷款、碳票、债券、基金等方面为林业碳汇项目提供投融资、项目运营、风险管理等金融服务，激励更多市场主体参与林业碳汇事业；降低林业碳汇项目交易风险，鼓励保险业积极探索开发林业碳汇项目保险险种，防范和共担风险，降低碳汇交易市场的不确定性，增加市场主体对项目开发和交易的信心。</w:t>
      </w:r>
    </w:p>
    <w:p w:rsidR="00B9739B" w:rsidRDefault="00B24D01">
      <w:pPr>
        <w:jc w:val="center"/>
        <w:outlineLvl w:val="0"/>
        <w:rPr>
          <w:rFonts w:ascii="Times New Roman" w:eastAsia="黑体" w:hAnsi="Times New Roman" w:cs="Times New Roman"/>
          <w:bCs/>
          <w:sz w:val="36"/>
          <w:szCs w:val="36"/>
        </w:rPr>
      </w:pPr>
      <w:r>
        <w:rPr>
          <w:rFonts w:ascii="Times New Roman" w:eastAsia="仿宋" w:hAnsi="Times New Roman" w:cs="Times New Roman"/>
          <w:sz w:val="32"/>
          <w:szCs w:val="32"/>
        </w:rPr>
        <w:br w:type="page"/>
      </w:r>
      <w:bookmarkStart w:id="241" w:name="_Toc21642"/>
      <w:r>
        <w:rPr>
          <w:rFonts w:ascii="Times New Roman" w:eastAsia="黑体" w:hAnsi="Times New Roman" w:cs="Times New Roman"/>
          <w:bCs/>
          <w:sz w:val="36"/>
          <w:szCs w:val="36"/>
        </w:rPr>
        <w:lastRenderedPageBreak/>
        <w:t>第九章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建立健全生态经济保障机制</w:t>
      </w:r>
      <w:bookmarkEnd w:id="241"/>
    </w:p>
    <w:p w:rsidR="00B9739B" w:rsidRDefault="00B9739B">
      <w:pPr>
        <w:rPr>
          <w:rFonts w:ascii="Times New Roman" w:hAnsi="Times New Roman" w:cs="Times New Roman"/>
        </w:rPr>
      </w:pP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以完善生态经济要素供给和市场化配置为重点，推动生态产品价值实现，形成生态产业化、产业生态化的要素保障，为推动生态经济高质量发展、建设现代化生态经济体系提供高效运行机制。</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42" w:name="_Toc22084"/>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建立生态产品价值实现机制</w:t>
      </w:r>
      <w:bookmarkEnd w:id="242"/>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建立健全生态产品价值实现机制，是贯彻落实习近平生态文明思想的重要举措，是践行绿水青山就是金山银山理念的关键路径，对推动经济社会发展全面绿色转型具有重要意义。</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43" w:name="_Toc18286"/>
      <w:bookmarkStart w:id="244" w:name="_Toc17642"/>
      <w:r>
        <w:rPr>
          <w:rFonts w:ascii="Times New Roman" w:eastAsia="仿宋_GB2312" w:hAnsi="Times New Roman" w:cs="Times New Roman"/>
          <w:b/>
          <w:bCs/>
          <w:sz w:val="32"/>
          <w:szCs w:val="32"/>
        </w:rPr>
        <w:t>一、建立生态产品经营机制</w:t>
      </w:r>
      <w:bookmarkEnd w:id="243"/>
      <w:bookmarkEnd w:id="24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严格保护生态环境前提下，鼓励采取多样化模式和路径，科学合理推动生态产品价值实现。依托独特的自然禀赋，通过联合创新，提高生态产品价值。科学运用先进技术实施精深加工，拓展延伸生态产品产业链和价值链。依托洁净水源、清洁空气、适宜气候等自然本底条件，大力发展矿泉、中医药、旅游等产业，积极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滑雪小镇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爱情小镇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冰雪小镇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狩猎小镇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温泉小镇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康养小镇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文旅特色小镇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人参文化小镇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森工文旅小镇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等运营发展，推动生态优势转化为产业优势。依托优美自然风光、历史文化遗存，引进专业设计、运营团队，在最大限度减少人为扰动前</w:t>
      </w:r>
      <w:r>
        <w:rPr>
          <w:rFonts w:ascii="Times New Roman" w:eastAsia="仿宋_GB2312" w:hAnsi="Times New Roman" w:cs="Times New Roman"/>
          <w:sz w:val="32"/>
          <w:szCs w:val="32"/>
        </w:rPr>
        <w:lastRenderedPageBreak/>
        <w:t>提下，打造旅游与康养休闲融合发展的生态旅游开发模式。</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45" w:name="_Toc2480"/>
      <w:bookmarkStart w:id="246" w:name="_Toc15192"/>
      <w:r>
        <w:rPr>
          <w:rFonts w:ascii="Times New Roman" w:eastAsia="仿宋_GB2312" w:hAnsi="Times New Roman" w:cs="Times New Roman"/>
          <w:b/>
          <w:bCs/>
          <w:sz w:val="32"/>
          <w:szCs w:val="32"/>
        </w:rPr>
        <w:t>二、促进生态产品价值增值</w:t>
      </w:r>
      <w:bookmarkEnd w:id="245"/>
      <w:bookmarkEnd w:id="24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鼓励打造特色鲜明的生态产品区域公用品牌，将各类生态产品纳入品牌范围，加强品牌培育和保护，提升生态产品溢价。建立和规范生态产品认证评价标准，构建具有抚松特色的生态产品认证体系。建立生态产品质量追溯机制，健全生态产品交易流通全过程监督体系，推进区块链等新技术应用，实现生态产品信息可查询、质量可追溯、责任可追查。鼓励将生态环境保护修复与生态产品经营开发权益挂钩，对开展荒山荒地等综合整治的社会主体，在保障生态效益和依法依规前提下，允许利用一定比例的土地发展生态农业、生态旅游获取收益。鼓励实行农民入股分红模式，保障参与生态产品经营开发的村民利益。鼓励采取多种措施开发生态产品价值，加大对必要的交通、能源等基础设施和基本公共服务设施建设的支持力度。</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47" w:name="_Toc21644"/>
      <w:bookmarkStart w:id="248" w:name="_Toc7706"/>
      <w:r>
        <w:rPr>
          <w:rFonts w:ascii="Times New Roman" w:eastAsia="仿宋_GB2312" w:hAnsi="Times New Roman" w:cs="Times New Roman"/>
          <w:b/>
          <w:bCs/>
          <w:sz w:val="32"/>
          <w:szCs w:val="32"/>
        </w:rPr>
        <w:t>三、健全生态保护补偿机制</w:t>
      </w:r>
      <w:bookmarkEnd w:id="247"/>
      <w:bookmarkEnd w:id="24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照生态产品价值核算、生态保护红线面积等因素，完善重点生态功能区转移支付资金分配机制。探索统筹生态领域转移支付资金，通过设立市场化产业发展基金等方式，支持基于生态环境系统性保护修复的生态产品价值实现工程建设。设立符合实际需要的生态公益岗位等方式，对主要提供生态产品地区的居民实施生态补偿。鼓励生态产品供给地</w:t>
      </w:r>
      <w:r>
        <w:rPr>
          <w:rFonts w:ascii="Times New Roman" w:eastAsia="仿宋_GB2312" w:hAnsi="Times New Roman" w:cs="Times New Roman"/>
          <w:sz w:val="32"/>
          <w:szCs w:val="32"/>
        </w:rPr>
        <w:lastRenderedPageBreak/>
        <w:t>和受益地按照自愿协商原则，开展生态保护补偿，支持在符合条件的重点流域依据出入境断面水量和水质监测结果等开展横向生态保护补偿。探索异地开发补偿模式，在生态产品供给地和受益地之间相互建立合作园区，健全利益分配和风险分担机制。</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49" w:name="_Toc20338"/>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增强生态经济发展要素供给</w:t>
      </w:r>
      <w:bookmarkEnd w:id="24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以完善生态经济要素供给为重点，推动生态产品价值实现，形成生态产业化、产业生态化的要素保障，为推动生态经济高质量发展、建设现代化生态经济体系提供高效运行机制。</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50" w:name="_Toc32260"/>
      <w:bookmarkStart w:id="251" w:name="_Toc17028"/>
      <w:r>
        <w:rPr>
          <w:rFonts w:ascii="Times New Roman" w:eastAsia="仿宋_GB2312" w:hAnsi="Times New Roman" w:cs="Times New Roman"/>
          <w:b/>
          <w:bCs/>
          <w:sz w:val="32"/>
          <w:szCs w:val="32"/>
        </w:rPr>
        <w:t>一、政策要素</w:t>
      </w:r>
      <w:bookmarkEnd w:id="250"/>
      <w:bookmarkEnd w:id="25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大政策支持力度。对于部分矿泉水签约项目推进难问题，积极争取上级政府给予政策支持。制定扶持龙头企业供应链上游企业的专项政策，加大对非公企业产业资金、项目扶持，减化审批程序和手续，提升服务效能，为企业发展营造良好发展环境。搭建村、乡镇、县市级土地、草场、水面、荒山等流转平台，鼓励土地等经营权进行有序流转，有效延长经营权期限，加快确权发证工作进展。围绕技术创新、成果转化、科技金融、院所改革、人才激励等研究制定创新性政策措施，用足、用好省市出台的相关政策措施，推动政策落地。</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52" w:name="_Toc26996"/>
      <w:bookmarkStart w:id="253" w:name="_Toc176"/>
      <w:r>
        <w:rPr>
          <w:rFonts w:ascii="Times New Roman" w:eastAsia="仿宋_GB2312" w:hAnsi="Times New Roman" w:cs="Times New Roman"/>
          <w:b/>
          <w:bCs/>
          <w:sz w:val="32"/>
          <w:szCs w:val="32"/>
        </w:rPr>
        <w:lastRenderedPageBreak/>
        <w:t>二、金融要素</w:t>
      </w:r>
      <w:bookmarkEnd w:id="252"/>
      <w:bookmarkEnd w:id="25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鼓励企业和个人依法依规开展林权等使用权抵押、产品订单抵押等绿色信贷业务，有效降低私营企业融资利率，降低抵押标准，探讨科学的信用担保贷款方式，延长贷款周期，为企业发展创造宽松的融资环境；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生态资产权益抵押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模式，探索适用于非公有企业的信用评估机制、贷款程序、担保制度、抵押办法等，加大对生态产品经营开发主体中长期贷款支持力度，合理降低融资成本，提升金融服务质效，解决企业融资贵、融资难问题。</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54" w:name="_Toc30701"/>
      <w:bookmarkStart w:id="255" w:name="_Toc17626"/>
      <w:r>
        <w:rPr>
          <w:rFonts w:ascii="Times New Roman" w:eastAsia="仿宋_GB2312" w:hAnsi="Times New Roman" w:cs="Times New Roman"/>
          <w:b/>
          <w:bCs/>
          <w:sz w:val="32"/>
          <w:szCs w:val="32"/>
        </w:rPr>
        <w:t>三、科技要素</w:t>
      </w:r>
      <w:bookmarkEnd w:id="254"/>
      <w:bookmarkEnd w:id="255"/>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支持行业骨干企业联合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两校三所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吉林大学、东北师范大学、中科院长春光机所、中科院长春应化所、中科院东北地理所）高等学校、科研机构开展攻关，鼓励龙头企业采取多种形式与院校合作开展横向课题研究，组建由技术、财务、金融、投资、管理等领域专家组成的专家委员会，对生态产业重大项目和承担单位的创新能力、商业模式、管理运营等方面进行综合评价。</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56" w:name="_Toc22631"/>
      <w:bookmarkStart w:id="257" w:name="_Toc20723"/>
      <w:r>
        <w:rPr>
          <w:rFonts w:ascii="Times New Roman" w:eastAsia="仿宋_GB2312" w:hAnsi="Times New Roman" w:cs="Times New Roman"/>
          <w:b/>
          <w:bCs/>
          <w:sz w:val="32"/>
          <w:szCs w:val="32"/>
        </w:rPr>
        <w:t>四、土地要素</w:t>
      </w:r>
      <w:bookmarkEnd w:id="256"/>
      <w:bookmarkEnd w:id="257"/>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优化用地布局和规模，保障生态经济项目用地需求。对列入生态经济规划的重大项目，优先统筹推进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鼓励引导生态园区和生态经济项目充分利用低丘缓坡，优先使用未利用地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鼓励农村建设用地采取入股、租赁、合伙等方式，参与生态</w:t>
      </w:r>
      <w:r>
        <w:rPr>
          <w:rFonts w:ascii="Times New Roman" w:eastAsia="仿宋_GB2312" w:hAnsi="Times New Roman" w:cs="Times New Roman"/>
          <w:sz w:val="32"/>
          <w:szCs w:val="32"/>
        </w:rPr>
        <w:lastRenderedPageBreak/>
        <w:t>经济项目建设。重点加强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地区生态经济发展用地保障。</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58" w:name="_Toc6022"/>
      <w:r>
        <w:rPr>
          <w:rFonts w:ascii="Times New Roman" w:eastAsia="楷体" w:hAnsi="Times New Roman" w:cs="Times New Roman"/>
          <w:szCs w:val="32"/>
        </w:rPr>
        <w:t>第三节</w:t>
      </w:r>
      <w:r>
        <w:rPr>
          <w:rFonts w:ascii="Times New Roman" w:eastAsia="楷体" w:hAnsi="Times New Roman" w:cs="Times New Roman"/>
          <w:szCs w:val="32"/>
        </w:rPr>
        <w:t xml:space="preserve">  </w:t>
      </w:r>
      <w:r>
        <w:rPr>
          <w:rFonts w:ascii="Times New Roman" w:eastAsia="楷体" w:hAnsi="Times New Roman" w:cs="Times New Roman"/>
          <w:szCs w:val="32"/>
        </w:rPr>
        <w:t>构建生态经济市场体系</w:t>
      </w:r>
      <w:bookmarkEnd w:id="258"/>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对新发展新阶段，构建生态经济市场体系，就要创新手段，采取多种方式，培育和稳固生态经济市场，挖掘一切可以利用的资源潜力，发展一些经济发达、生态高效的产业，建设体制合理、社会和谐的文化以及生态健康。</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59" w:name="_Toc2702"/>
      <w:bookmarkStart w:id="260" w:name="_Toc21098"/>
      <w:r>
        <w:rPr>
          <w:rFonts w:ascii="Times New Roman" w:eastAsia="仿宋_GB2312" w:hAnsi="Times New Roman" w:cs="Times New Roman"/>
          <w:b/>
          <w:bCs/>
          <w:sz w:val="32"/>
          <w:szCs w:val="32"/>
        </w:rPr>
        <w:t>一、大力开展招商引资</w:t>
      </w:r>
      <w:bookmarkEnd w:id="259"/>
      <w:bookmarkEnd w:id="260"/>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组织专项招商引资活动。采取土地使用权优惠，土地租金返还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生产经营所需用水、电、通讯设施优先保证供应；水、电、通讯费按企业统一标准收取等，吸纳一批企业在生态旅游、生物制药和可再生能源利用等领域投资兴业。以产业链上自主研发核心技术为基点，从上下游产业链、供应链配套切入，真正形成区域闭环产业配套和人才支撑，构建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基础研究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技术攻关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成果产业化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科技金融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人才支撑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全过程创新生态链，逐渐打造出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引进一个领军人才，集聚一个高端团队，兴办一个优质企业，带动一个新兴产业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的链式效应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，形成产业聚变。</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61" w:name="_Toc24900"/>
      <w:bookmarkStart w:id="262" w:name="_Toc19387"/>
      <w:r>
        <w:rPr>
          <w:rFonts w:ascii="Times New Roman" w:eastAsia="仿宋_GB2312" w:hAnsi="Times New Roman" w:cs="Times New Roman"/>
          <w:b/>
          <w:bCs/>
          <w:sz w:val="32"/>
          <w:szCs w:val="32"/>
        </w:rPr>
        <w:t>二、推进以产定销模式</w:t>
      </w:r>
      <w:bookmarkEnd w:id="261"/>
      <w:bookmarkEnd w:id="262"/>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根据森林、矿泉、中药材等资源用地的承载力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供给能力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，在尊重自然发展规律基础上确定产量规模、大小，以确保生态系统健康发展和经济系统合理适度增长，以产定量。全面</w:t>
      </w:r>
      <w:r>
        <w:rPr>
          <w:rFonts w:ascii="Times New Roman" w:eastAsia="仿宋_GB2312" w:hAnsi="Times New Roman" w:cs="Times New Roman"/>
          <w:sz w:val="32"/>
          <w:szCs w:val="32"/>
        </w:rPr>
        <w:lastRenderedPageBreak/>
        <w:t>体现我县生态产业产品稀缺性的附加值，以产定价。</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63" w:name="_Toc30473"/>
      <w:bookmarkStart w:id="264" w:name="_Toc29719"/>
      <w:r>
        <w:rPr>
          <w:rFonts w:ascii="Times New Roman" w:eastAsia="仿宋_GB2312" w:hAnsi="Times New Roman" w:cs="Times New Roman"/>
          <w:b/>
          <w:bCs/>
          <w:sz w:val="32"/>
          <w:szCs w:val="32"/>
        </w:rPr>
        <w:t>三、建立特许经营模式</w:t>
      </w:r>
      <w:bookmarkEnd w:id="263"/>
      <w:bookmarkEnd w:id="26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行政许可规范要求，筛选出软硬件突出的企业参与抚松生态产业市场经营活动，并在采购、生产、运输等经营的全过程中，须接受保护抚松生态环境的控制条款。同时，通过特许经营扩大市场，建立特许经营标准，规范指导受许人在抚松的经营活动。</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65" w:name="_Toc24107"/>
      <w:bookmarkStart w:id="266" w:name="_Toc7502"/>
      <w:r>
        <w:rPr>
          <w:rFonts w:ascii="Times New Roman" w:eastAsia="仿宋_GB2312" w:hAnsi="Times New Roman" w:cs="Times New Roman"/>
          <w:b/>
          <w:bCs/>
          <w:sz w:val="32"/>
          <w:szCs w:val="32"/>
        </w:rPr>
        <w:t>四、大力优化营商环境</w:t>
      </w:r>
      <w:bookmarkEnd w:id="265"/>
      <w:bookmarkEnd w:id="26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实施更加宽松便捷的市场准入制度，放宽生态产品市场准入门槛，积极吸引社会资本和多方力量参与应急产业发展，坚持简政放权、放管结合、优化服务协同推进，不断优化发展环境，充分激发市场主体活力。</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67" w:name="_Toc22629"/>
      <w:r>
        <w:rPr>
          <w:rFonts w:ascii="Times New Roman" w:eastAsia="楷体" w:hAnsi="Times New Roman" w:cs="Times New Roman"/>
          <w:szCs w:val="32"/>
        </w:rPr>
        <w:t>第四节</w:t>
      </w:r>
      <w:r>
        <w:rPr>
          <w:rFonts w:ascii="Times New Roman" w:eastAsia="楷体" w:hAnsi="Times New Roman" w:cs="Times New Roman"/>
          <w:szCs w:val="32"/>
        </w:rPr>
        <w:t xml:space="preserve">  </w:t>
      </w:r>
      <w:r>
        <w:rPr>
          <w:rFonts w:ascii="Times New Roman" w:eastAsia="楷体" w:hAnsi="Times New Roman" w:cs="Times New Roman"/>
          <w:szCs w:val="32"/>
        </w:rPr>
        <w:t>强化生态经济科技支撑</w:t>
      </w:r>
      <w:bookmarkEnd w:id="267"/>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加强科技创新，重点解决涉及全局性、跨行业、跨地区的重大技术问题，着力攻克一批关键技术，突破瓶颈制约，提升产业竞争力，为我县生态经济发展提供支撑。</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68" w:name="_Toc3636"/>
      <w:bookmarkStart w:id="269" w:name="_Toc12674"/>
      <w:r>
        <w:rPr>
          <w:rFonts w:ascii="Times New Roman" w:eastAsia="仿宋_GB2312" w:hAnsi="Times New Roman" w:cs="Times New Roman"/>
          <w:b/>
          <w:bCs/>
          <w:sz w:val="32"/>
          <w:szCs w:val="32"/>
        </w:rPr>
        <w:t>一、科技创新支撑</w:t>
      </w:r>
      <w:bookmarkEnd w:id="268"/>
      <w:bookmarkEnd w:id="269"/>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生态环境保护科研平台。继续开展退化生态系统综合修复，功能提升和绿色可持续发展关键技术研发与集成示范。实施水资源保护与利用科技专项，围绕生态保育、径流变化、水环境改善、水生态修复等重点技术进行系统研究。</w:t>
      </w:r>
      <w:r>
        <w:rPr>
          <w:rFonts w:ascii="Times New Roman" w:eastAsia="仿宋_GB2312" w:hAnsi="Times New Roman" w:cs="Times New Roman"/>
          <w:sz w:val="32"/>
          <w:szCs w:val="32"/>
        </w:rPr>
        <w:lastRenderedPageBreak/>
        <w:t>实施科技园区提质增效工程和特色生物资源加工科技专项，开展种质资源创制、保护性耕作、生物膜利用等重点技术应用，扩大高效种殖技术推广应用，加快研发新技术新产品，增强医药、矿泉水、绿色有机农产品等技术保障。</w:t>
      </w:r>
    </w:p>
    <w:p w:rsidR="00B9739B" w:rsidRDefault="00B24D01">
      <w:pPr>
        <w:spacing w:line="360" w:lineRule="auto"/>
        <w:ind w:firstLineChars="200" w:firstLine="643"/>
        <w:rPr>
          <w:rFonts w:ascii="Times New Roman" w:eastAsia="仿宋_GB2312" w:hAnsi="Times New Roman" w:cs="Times New Roman"/>
          <w:b/>
          <w:bCs/>
          <w:sz w:val="32"/>
          <w:szCs w:val="32"/>
        </w:rPr>
      </w:pPr>
      <w:bookmarkStart w:id="270" w:name="_Toc30339"/>
      <w:bookmarkStart w:id="271" w:name="_Toc25301"/>
      <w:r>
        <w:rPr>
          <w:rFonts w:ascii="Times New Roman" w:eastAsia="仿宋_GB2312" w:hAnsi="Times New Roman" w:cs="Times New Roman"/>
          <w:b/>
          <w:bCs/>
          <w:sz w:val="32"/>
          <w:szCs w:val="32"/>
        </w:rPr>
        <w:t>二、人才机制支撑</w:t>
      </w:r>
      <w:bookmarkEnd w:id="270"/>
      <w:bookmarkEnd w:id="271"/>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加强急需紧缺人才的引进和培养，实施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培育行动计划。通过举办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招才引智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教学、学术交流等活动，加强应用型和技能型人才培育，引进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高、精、尖、特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人才，壮大高水平工程师和高技能人才队伍；选聘优秀科技人员到企业开展科研活动，在高等学校、科研机构科研人员中培育一批高水平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科技副总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，充分发挥人才在创新中的主体作用。鼓励支持企事业单位专业技术人员在岗创业、到企业兼职、带科研项目离岗创业，激发创新创业活力。</w:t>
      </w:r>
    </w:p>
    <w:p w:rsidR="00B9739B" w:rsidRDefault="00B24D01">
      <w:pPr>
        <w:jc w:val="center"/>
        <w:outlineLvl w:val="0"/>
        <w:rPr>
          <w:rFonts w:ascii="Times New Roman" w:eastAsia="黑体" w:hAnsi="Times New Roman" w:cs="Times New Roman"/>
          <w:bCs/>
          <w:sz w:val="36"/>
          <w:szCs w:val="36"/>
        </w:rPr>
      </w:pPr>
      <w:r>
        <w:rPr>
          <w:rFonts w:ascii="Times New Roman" w:eastAsia="仿宋_GB2312" w:hAnsi="Times New Roman" w:cs="Times New Roman"/>
          <w:sz w:val="32"/>
          <w:szCs w:val="32"/>
        </w:rPr>
        <w:br w:type="page"/>
      </w:r>
      <w:bookmarkStart w:id="272" w:name="_Toc28326"/>
      <w:r>
        <w:rPr>
          <w:rFonts w:ascii="Times New Roman" w:eastAsia="黑体" w:hAnsi="Times New Roman" w:cs="Times New Roman"/>
          <w:bCs/>
          <w:sz w:val="36"/>
          <w:szCs w:val="36"/>
        </w:rPr>
        <w:lastRenderedPageBreak/>
        <w:t>第十章</w:t>
      </w:r>
      <w:r>
        <w:rPr>
          <w:rFonts w:ascii="Times New Roman" w:eastAsia="黑体" w:hAnsi="Times New Roman" w:cs="Times New Roman"/>
          <w:bCs/>
          <w:sz w:val="36"/>
          <w:szCs w:val="36"/>
        </w:rPr>
        <w:t xml:space="preserve">  </w:t>
      </w:r>
      <w:r>
        <w:rPr>
          <w:rFonts w:ascii="Times New Roman" w:eastAsia="黑体" w:hAnsi="Times New Roman" w:cs="Times New Roman"/>
          <w:bCs/>
          <w:sz w:val="36"/>
          <w:szCs w:val="36"/>
        </w:rPr>
        <w:t>保障措施</w:t>
      </w:r>
      <w:bookmarkEnd w:id="272"/>
    </w:p>
    <w:p w:rsidR="00B9739B" w:rsidRDefault="00B9739B">
      <w:pPr>
        <w:rPr>
          <w:rFonts w:ascii="Times New Roman" w:hAnsi="Times New Roman" w:cs="Times New Roman"/>
        </w:rPr>
      </w:pPr>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加大政策执行力度，健全工作推进机制，强化绿色金融和政策支持，严格督查考核，为营造绿色生态产业发展提供保障。</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73" w:name="_Toc29881"/>
      <w:r>
        <w:rPr>
          <w:rFonts w:ascii="Times New Roman" w:eastAsia="楷体" w:hAnsi="Times New Roman" w:cs="Times New Roman"/>
          <w:szCs w:val="32"/>
        </w:rPr>
        <w:t>第一节</w:t>
      </w:r>
      <w:r>
        <w:rPr>
          <w:rFonts w:ascii="Times New Roman" w:eastAsia="楷体" w:hAnsi="Times New Roman" w:cs="Times New Roman"/>
          <w:szCs w:val="32"/>
        </w:rPr>
        <w:t xml:space="preserve">  </w:t>
      </w:r>
      <w:r>
        <w:rPr>
          <w:rFonts w:ascii="Times New Roman" w:eastAsia="楷体" w:hAnsi="Times New Roman" w:cs="Times New Roman"/>
          <w:szCs w:val="32"/>
        </w:rPr>
        <w:t>加强组织领导</w:t>
      </w:r>
      <w:bookmarkEnd w:id="273"/>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强化统筹协调。建立县级推动生态经济联席会议制度，设立联席会议办公室，负责统筹规划实施，确保完成目标任务。各部门强化责任担当，负责指导推动各地实施。县乡镇政府要切实履行生态经济发展的主体责任，组织实施好重大项目建设。</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74" w:name="_Toc19888"/>
      <w:r>
        <w:rPr>
          <w:rFonts w:ascii="Times New Roman" w:eastAsia="楷体" w:hAnsi="Times New Roman" w:cs="Times New Roman"/>
          <w:szCs w:val="32"/>
        </w:rPr>
        <w:t>第二节</w:t>
      </w:r>
      <w:r>
        <w:rPr>
          <w:rFonts w:ascii="Times New Roman" w:eastAsia="楷体" w:hAnsi="Times New Roman" w:cs="Times New Roman"/>
          <w:szCs w:val="32"/>
        </w:rPr>
        <w:t xml:space="preserve">  </w:t>
      </w:r>
      <w:r>
        <w:rPr>
          <w:rFonts w:ascii="Times New Roman" w:eastAsia="楷体" w:hAnsi="Times New Roman" w:cs="Times New Roman"/>
          <w:szCs w:val="32"/>
        </w:rPr>
        <w:t>精准施策力度</w:t>
      </w:r>
      <w:bookmarkEnd w:id="274"/>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创新政策供给，健全完善各项政策措施。从财政金融、投资政策、土地政策、环境政策、运营监管等方面实施政策创新，积极营造有利于绿色生态产业发展的制度环境，促进各类要素聚集绿色发展。对符合绿色生态产业发展的企业和产品，落实现有各类鼓励产业发展的财政、金融、投资、价格、土地、规划、环保、能源等优惠政策。完善人才政策，激发和保护企业家精神，加快政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改革，营造绿色生态产业发展的公平法治便捷透明的市场环境。</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75" w:name="_Toc28718"/>
      <w:r>
        <w:rPr>
          <w:rFonts w:ascii="Times New Roman" w:eastAsia="楷体" w:hAnsi="Times New Roman" w:cs="Times New Roman"/>
          <w:szCs w:val="32"/>
        </w:rPr>
        <w:lastRenderedPageBreak/>
        <w:t>第三节</w:t>
      </w:r>
      <w:r>
        <w:rPr>
          <w:rFonts w:ascii="Times New Roman" w:eastAsia="楷体" w:hAnsi="Times New Roman" w:cs="Times New Roman"/>
          <w:szCs w:val="32"/>
        </w:rPr>
        <w:t xml:space="preserve">  </w:t>
      </w:r>
      <w:r>
        <w:rPr>
          <w:rFonts w:ascii="Times New Roman" w:eastAsia="楷体" w:hAnsi="Times New Roman" w:cs="Times New Roman"/>
          <w:szCs w:val="32"/>
        </w:rPr>
        <w:t>健全法制保障</w:t>
      </w:r>
      <w:bookmarkEnd w:id="275"/>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严格环境执法，加强监督性执法、区域联动和交叉检查、县级网络化管理。进一步规范环境行政许可，规范行政执法监督检查和稽查制度。实行最严格的生态保护制度、损害赔偿制度、责任追究制度，建立系统完整的生态经济制度体系，健全环境治理和生态修复制度，健全自然资源资产产权制度和用途管制制度，严格国土资源开发管理制度。</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76" w:name="_Toc29626"/>
      <w:r>
        <w:rPr>
          <w:rFonts w:ascii="Times New Roman" w:eastAsia="楷体" w:hAnsi="Times New Roman" w:cs="Times New Roman"/>
          <w:szCs w:val="32"/>
        </w:rPr>
        <w:t>第四节</w:t>
      </w:r>
      <w:r>
        <w:rPr>
          <w:rFonts w:ascii="Times New Roman" w:eastAsia="楷体" w:hAnsi="Times New Roman" w:cs="Times New Roman"/>
          <w:szCs w:val="32"/>
        </w:rPr>
        <w:t xml:space="preserve">  </w:t>
      </w:r>
      <w:r>
        <w:rPr>
          <w:rFonts w:ascii="Times New Roman" w:eastAsia="楷体" w:hAnsi="Times New Roman" w:cs="Times New Roman"/>
          <w:szCs w:val="32"/>
        </w:rPr>
        <w:t>强化监督考核</w:t>
      </w:r>
      <w:bookmarkEnd w:id="276"/>
    </w:p>
    <w:p w:rsidR="00B9739B" w:rsidRDefault="00B24D01">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定并优化完善生态经济发展评价指标体系，完善生态经济统计评价制度，定期评价抚松县生态经济发展水平与质量。支持第三方机构参与评估，将评价结果作为各级各部门领导班子年度目标责任考核的重要参考。</w:t>
      </w:r>
    </w:p>
    <w:p w:rsidR="00B9739B" w:rsidRDefault="00B24D01" w:rsidP="00BC2915">
      <w:pPr>
        <w:pStyle w:val="2"/>
        <w:spacing w:beforeLines="100" w:afterLines="100" w:line="360" w:lineRule="auto"/>
        <w:jc w:val="center"/>
        <w:rPr>
          <w:rFonts w:ascii="Times New Roman" w:eastAsia="楷体" w:hAnsi="Times New Roman" w:cs="Times New Roman"/>
          <w:szCs w:val="32"/>
        </w:rPr>
      </w:pPr>
      <w:bookmarkStart w:id="277" w:name="_Toc3695"/>
      <w:r>
        <w:rPr>
          <w:rFonts w:ascii="Times New Roman" w:eastAsia="楷体" w:hAnsi="Times New Roman" w:cs="Times New Roman"/>
          <w:szCs w:val="32"/>
        </w:rPr>
        <w:t>第五节</w:t>
      </w:r>
      <w:r>
        <w:rPr>
          <w:rFonts w:ascii="Times New Roman" w:eastAsia="楷体" w:hAnsi="Times New Roman" w:cs="Times New Roman"/>
          <w:szCs w:val="32"/>
        </w:rPr>
        <w:t xml:space="preserve">  </w:t>
      </w:r>
      <w:r>
        <w:rPr>
          <w:rFonts w:ascii="Times New Roman" w:eastAsia="楷体" w:hAnsi="Times New Roman" w:cs="Times New Roman"/>
          <w:szCs w:val="32"/>
        </w:rPr>
        <w:t>营造良好氛围</w:t>
      </w:r>
      <w:bookmarkEnd w:id="277"/>
    </w:p>
    <w:p w:rsidR="00B9739B" w:rsidRDefault="00B24D01">
      <w:pPr>
        <w:spacing w:line="360" w:lineRule="auto"/>
        <w:ind w:firstLineChars="200" w:firstLine="640"/>
        <w:rPr>
          <w:rFonts w:ascii="Times New Roman" w:eastAsia="仿宋_GB2312" w:hAnsi="Times New Roman" w:cs="Times New Roman"/>
          <w:sz w:val="32"/>
          <w:szCs w:val="32"/>
        </w:rPr>
        <w:sectPr w:rsidR="00B9739B">
          <w:pgSz w:w="11906" w:h="16838"/>
          <w:pgMar w:top="1440" w:right="1800" w:bottom="1440" w:left="1800" w:header="851" w:footer="992" w:gutter="0"/>
          <w:cols w:space="720"/>
          <w:docGrid w:type="lines" w:linePitch="312"/>
        </w:sectPr>
      </w:pPr>
      <w:r>
        <w:rPr>
          <w:rFonts w:ascii="Times New Roman" w:eastAsia="仿宋_GB2312" w:hAnsi="Times New Roman" w:cs="Times New Roman"/>
          <w:sz w:val="32"/>
          <w:szCs w:val="32"/>
        </w:rPr>
        <w:t>创新公众参与方式、模式和途径，鼓励采用以工代赈、生产奖补、劳务补助等方式，积极动员群众参与生态保护修复及相关基础设施建设；支持农村合作社等新型经营主体参与生态经济建设。切实加强生态经济的宣传力度，开创全社会同向发力的良好局面，实现生态经济全民共建共享。</w:t>
      </w:r>
    </w:p>
    <w:p w:rsidR="00B9739B" w:rsidRDefault="00B24D01">
      <w:pPr>
        <w:pStyle w:val="1"/>
        <w:jc w:val="center"/>
        <w:rPr>
          <w:rFonts w:ascii="Times New Roman" w:hAnsi="Times New Roman" w:cs="Times New Roman" w:hint="default"/>
          <w:sz w:val="44"/>
          <w:szCs w:val="44"/>
        </w:rPr>
      </w:pPr>
      <w:bookmarkStart w:id="278" w:name="_Toc23279"/>
      <w:r>
        <w:rPr>
          <w:rFonts w:ascii="Times New Roman" w:hAnsi="Times New Roman" w:cs="Times New Roman" w:hint="default"/>
          <w:sz w:val="44"/>
          <w:szCs w:val="44"/>
        </w:rPr>
        <w:lastRenderedPageBreak/>
        <w:t>附表</w:t>
      </w:r>
      <w:r>
        <w:rPr>
          <w:rFonts w:ascii="Times New Roman" w:hAnsi="Times New Roman" w:cs="Times New Roman" w:hint="default"/>
          <w:sz w:val="44"/>
          <w:szCs w:val="44"/>
        </w:rPr>
        <w:t xml:space="preserve">1  </w:t>
      </w:r>
      <w:r>
        <w:rPr>
          <w:rFonts w:ascii="Times New Roman" w:hAnsi="Times New Roman" w:cs="Times New Roman" w:hint="default"/>
          <w:sz w:val="44"/>
          <w:szCs w:val="44"/>
        </w:rPr>
        <w:t>抚松县生态产业近期重点推进项目表</w:t>
      </w:r>
      <w:bookmarkEnd w:id="278"/>
    </w:p>
    <w:tbl>
      <w:tblPr>
        <w:tblW w:w="13548" w:type="dxa"/>
        <w:jc w:val="center"/>
        <w:tblLayout w:type="fixed"/>
        <w:tblLook w:val="0000"/>
      </w:tblPr>
      <w:tblGrid>
        <w:gridCol w:w="674"/>
        <w:gridCol w:w="1294"/>
        <w:gridCol w:w="1185"/>
        <w:gridCol w:w="3120"/>
        <w:gridCol w:w="3090"/>
        <w:gridCol w:w="1425"/>
        <w:gridCol w:w="1380"/>
        <w:gridCol w:w="1380"/>
      </w:tblGrid>
      <w:tr w:rsidR="00B9739B">
        <w:trPr>
          <w:trHeight w:val="867"/>
          <w:tblHeader/>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序号</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项目名称</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投资主体</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kern w:val="0"/>
                <w:sz w:val="18"/>
                <w:szCs w:val="18"/>
              </w:rPr>
            </w:pPr>
            <w:r>
              <w:rPr>
                <w:rFonts w:ascii="Times New Roman" w:eastAsia="黑体" w:hAnsi="Times New Roman" w:cs="Times New Roman"/>
                <w:b/>
                <w:bCs/>
                <w:kern w:val="0"/>
                <w:sz w:val="18"/>
                <w:szCs w:val="18"/>
              </w:rPr>
              <w:t>总体建设内容及</w:t>
            </w:r>
          </w:p>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建设规模</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预计经济和社会效益</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建设性质</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kern w:val="0"/>
                <w:sz w:val="18"/>
                <w:szCs w:val="18"/>
              </w:rPr>
            </w:pPr>
            <w:r>
              <w:rPr>
                <w:rFonts w:ascii="Times New Roman" w:eastAsia="黑体" w:hAnsi="Times New Roman" w:cs="Times New Roman"/>
                <w:b/>
                <w:bCs/>
                <w:kern w:val="0"/>
                <w:sz w:val="18"/>
                <w:szCs w:val="18"/>
              </w:rPr>
              <w:t>建设年限</w:t>
            </w:r>
          </w:p>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（年月</w:t>
            </w:r>
            <w:r>
              <w:rPr>
                <w:rFonts w:ascii="Times New Roman" w:eastAsia="黑体" w:hAnsi="Times New Roman" w:cs="Times New Roman"/>
                <w:b/>
                <w:bCs/>
                <w:kern w:val="0"/>
                <w:sz w:val="18"/>
                <w:szCs w:val="18"/>
              </w:rPr>
              <w:t>-</w:t>
            </w:r>
            <w:r>
              <w:rPr>
                <w:rFonts w:ascii="Times New Roman" w:eastAsia="黑体" w:hAnsi="Times New Roman" w:cs="Times New Roman"/>
                <w:b/>
                <w:bCs/>
                <w:kern w:val="0"/>
                <w:sz w:val="18"/>
                <w:szCs w:val="18"/>
              </w:rPr>
              <w:t>年月）</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eastAsia="黑体" w:hAnsi="Times New Roman" w:cs="Times New Roman"/>
                <w:b/>
                <w:bCs/>
                <w:kern w:val="0"/>
                <w:sz w:val="18"/>
                <w:szCs w:val="18"/>
              </w:rPr>
            </w:pPr>
            <w:r>
              <w:rPr>
                <w:rFonts w:ascii="Times New Roman" w:eastAsia="黑体" w:hAnsi="Times New Roman" w:cs="Times New Roman"/>
                <w:b/>
                <w:bCs/>
                <w:kern w:val="0"/>
                <w:sz w:val="18"/>
                <w:szCs w:val="18"/>
              </w:rPr>
              <w:t>总投资</w:t>
            </w:r>
          </w:p>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（万元）</w:t>
            </w:r>
          </w:p>
        </w:tc>
      </w:tr>
      <w:tr w:rsidR="00B9739B">
        <w:trPr>
          <w:trHeight w:val="41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2479" w:type="dxa"/>
            <w:gridSpan w:val="2"/>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b/>
                <w:bCs/>
                <w:kern w:val="0"/>
                <w:sz w:val="18"/>
                <w:szCs w:val="18"/>
              </w:rPr>
              <w:t>总计：</w:t>
            </w:r>
            <w:r>
              <w:rPr>
                <w:rFonts w:ascii="Times New Roman" w:hAnsi="Times New Roman" w:cs="Times New Roman"/>
                <w:b/>
                <w:bCs/>
                <w:kern w:val="0"/>
                <w:sz w:val="18"/>
                <w:szCs w:val="18"/>
              </w:rPr>
              <w:t>53</w:t>
            </w:r>
            <w:r>
              <w:rPr>
                <w:rFonts w:ascii="Times New Roman" w:hAnsi="Times New Roman" w:cs="Times New Roman"/>
                <w:b/>
                <w:bCs/>
                <w:kern w:val="0"/>
                <w:sz w:val="18"/>
                <w:szCs w:val="18"/>
              </w:rPr>
              <w:t>项</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left"/>
              <w:textAlignment w:val="center"/>
              <w:rPr>
                <w:rFonts w:ascii="Times New Roman" w:hAnsi="Times New Roman" w:cs="Times New Roman"/>
                <w:kern w:val="0"/>
                <w:sz w:val="18"/>
                <w:szCs w:val="18"/>
              </w:rPr>
            </w:pP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left"/>
              <w:textAlignment w:val="center"/>
              <w:rPr>
                <w:rFonts w:ascii="Times New Roman" w:hAnsi="Times New Roman" w:cs="Times New Roman"/>
                <w:kern w:val="0"/>
                <w:sz w:val="18"/>
                <w:szCs w:val="18"/>
              </w:rPr>
            </w:pP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hint="eastAsia"/>
                <w:b/>
                <w:bCs/>
                <w:kern w:val="0"/>
                <w:sz w:val="18"/>
                <w:szCs w:val="18"/>
              </w:rPr>
              <w:t>4121483.35</w:t>
            </w:r>
          </w:p>
        </w:tc>
      </w:tr>
      <w:tr w:rsidR="00B9739B">
        <w:trPr>
          <w:trHeight w:val="423"/>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2874" w:type="dxa"/>
            <w:gridSpan w:val="7"/>
            <w:tcBorders>
              <w:top w:val="single" w:sz="4" w:space="0" w:color="auto"/>
              <w:left w:val="single" w:sz="4" w:space="0" w:color="auto"/>
              <w:bottom w:val="single" w:sz="4" w:space="0" w:color="auto"/>
              <w:right w:val="single" w:sz="4" w:space="0" w:color="000000"/>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b/>
                <w:bCs/>
                <w:kern w:val="0"/>
                <w:sz w:val="18"/>
                <w:szCs w:val="18"/>
              </w:rPr>
              <w:t>一、生态保护与治理类</w:t>
            </w:r>
            <w:r>
              <w:rPr>
                <w:rFonts w:ascii="Times New Roman" w:hAnsi="Times New Roman" w:cs="Times New Roman"/>
                <w:b/>
                <w:bCs/>
                <w:kern w:val="0"/>
                <w:sz w:val="18"/>
                <w:szCs w:val="18"/>
              </w:rPr>
              <w:t>14</w:t>
            </w:r>
            <w:r>
              <w:rPr>
                <w:rFonts w:ascii="Times New Roman" w:hAnsi="Times New Roman" w:cs="Times New Roman"/>
                <w:b/>
                <w:bCs/>
                <w:kern w:val="0"/>
                <w:sz w:val="18"/>
                <w:szCs w:val="18"/>
              </w:rPr>
              <w:t>项</w:t>
            </w:r>
          </w:p>
        </w:tc>
      </w:tr>
      <w:tr w:rsidR="00B9739B">
        <w:trPr>
          <w:trHeight w:val="1898"/>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松江河镇大小黄泥河综合治理及生态景观一期工程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天池圣景房地产开发有限公司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建设内容主要包括景观工程和水利工程两部分内容。水利工程包括河道护岸及拦河闸设计。两岸新建护岸长度共为</w:t>
            </w:r>
            <w:r>
              <w:rPr>
                <w:rFonts w:ascii="Times New Roman" w:hAnsi="Times New Roman" w:cs="Times New Roman"/>
                <w:kern w:val="0"/>
                <w:sz w:val="18"/>
                <w:szCs w:val="18"/>
              </w:rPr>
              <w:t>2571.8</w:t>
            </w:r>
            <w:r>
              <w:rPr>
                <w:rFonts w:ascii="Times New Roman" w:hAnsi="Times New Roman" w:cs="Times New Roman"/>
                <w:kern w:val="0"/>
                <w:sz w:val="18"/>
                <w:szCs w:val="18"/>
              </w:rPr>
              <w:t>米，新建拦河闸</w:t>
            </w:r>
            <w:r>
              <w:rPr>
                <w:rFonts w:ascii="Times New Roman" w:hAnsi="Times New Roman" w:cs="Times New Roman"/>
                <w:kern w:val="0"/>
                <w:sz w:val="18"/>
                <w:szCs w:val="18"/>
              </w:rPr>
              <w:t>3</w:t>
            </w:r>
            <w:r>
              <w:rPr>
                <w:rFonts w:ascii="Times New Roman" w:hAnsi="Times New Roman" w:cs="Times New Roman"/>
                <w:kern w:val="0"/>
                <w:sz w:val="18"/>
                <w:szCs w:val="18"/>
              </w:rPr>
              <w:t>座。景观工程包括绿化工程和水域。</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通过对大、小黄泥的治理改造，在满足河道行洪安全的前提下，将黄泥河打造成小镇的蓝色通道，与小镇的规划有机结合，加快松江河小镇建设，打造生态名片。</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2021.3-</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22652</w:t>
            </w:r>
          </w:p>
        </w:tc>
      </w:tr>
      <w:tr w:rsidR="00B9739B">
        <w:trPr>
          <w:trHeight w:val="19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人工林改培培育项目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抚松县林业局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通过抚育采伐、灌下补植等方式，对生产力低下的人工林进行改培培育，促进人工林生长。</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在生态环境保护方面，该项目能控制水土流失、防风固沙、涵养水源；在民生保障方面，该项目每年能提供</w:t>
            </w:r>
            <w:r>
              <w:rPr>
                <w:rFonts w:ascii="Times New Roman" w:hAnsi="Times New Roman" w:cs="Times New Roman"/>
                <w:kern w:val="0"/>
                <w:sz w:val="18"/>
                <w:szCs w:val="18"/>
              </w:rPr>
              <w:t>20</w:t>
            </w:r>
            <w:r>
              <w:rPr>
                <w:rFonts w:ascii="Times New Roman" w:hAnsi="Times New Roman" w:cs="Times New Roman"/>
                <w:kern w:val="0"/>
                <w:sz w:val="18"/>
                <w:szCs w:val="18"/>
              </w:rPr>
              <w:t>个就业岗位。</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2025.5</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7000</w:t>
            </w:r>
          </w:p>
        </w:tc>
      </w:tr>
      <w:tr w:rsidR="00B9739B">
        <w:trPr>
          <w:trHeight w:val="11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中小河流汤河抚松县温泉社区至河口段巩固提升工程</w:t>
            </w:r>
            <w:r>
              <w:rPr>
                <w:rFonts w:ascii="Times New Roman" w:hAnsi="Times New Roman" w:cs="Times New Roman"/>
                <w:kern w:val="0"/>
                <w:sz w:val="18"/>
                <w:szCs w:val="18"/>
              </w:rPr>
              <w:t>(</w:t>
            </w:r>
            <w:r>
              <w:rPr>
                <w:rFonts w:ascii="Times New Roman" w:hAnsi="Times New Roman" w:cs="Times New Roman"/>
                <w:kern w:val="0"/>
                <w:sz w:val="18"/>
                <w:szCs w:val="18"/>
              </w:rPr>
              <w:t>一期）</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抚松县水利工程建设服务中心</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治理河道长度</w:t>
            </w:r>
            <w:r>
              <w:rPr>
                <w:rFonts w:ascii="Times New Roman" w:hAnsi="Times New Roman" w:cs="Times New Roman"/>
                <w:kern w:val="0"/>
                <w:sz w:val="18"/>
                <w:szCs w:val="18"/>
              </w:rPr>
              <w:t>2.711</w:t>
            </w:r>
            <w:r>
              <w:rPr>
                <w:rFonts w:ascii="Times New Roman" w:hAnsi="Times New Roman" w:cs="Times New Roman"/>
                <w:kern w:val="0"/>
                <w:sz w:val="18"/>
                <w:szCs w:val="18"/>
              </w:rPr>
              <w:t>公里，加固浆砌石挡土墙</w:t>
            </w:r>
            <w:r>
              <w:rPr>
                <w:rFonts w:ascii="Times New Roman" w:hAnsi="Times New Roman" w:cs="Times New Roman"/>
                <w:kern w:val="0"/>
                <w:sz w:val="18"/>
                <w:szCs w:val="18"/>
              </w:rPr>
              <w:t>5081</w:t>
            </w:r>
            <w:r>
              <w:rPr>
                <w:rFonts w:ascii="Times New Roman" w:hAnsi="Times New Roman" w:cs="Times New Roman"/>
                <w:kern w:val="0"/>
                <w:sz w:val="18"/>
                <w:szCs w:val="18"/>
              </w:rPr>
              <w:t>米，其中新建挡墙</w:t>
            </w:r>
            <w:r>
              <w:rPr>
                <w:rFonts w:ascii="Times New Roman" w:hAnsi="Times New Roman" w:cs="Times New Roman"/>
                <w:kern w:val="0"/>
                <w:sz w:val="18"/>
                <w:szCs w:val="18"/>
              </w:rPr>
              <w:t>140</w:t>
            </w:r>
            <w:r>
              <w:rPr>
                <w:rFonts w:ascii="Times New Roman" w:hAnsi="Times New Roman" w:cs="Times New Roman"/>
                <w:kern w:val="0"/>
                <w:sz w:val="18"/>
                <w:szCs w:val="18"/>
              </w:rPr>
              <w:t>米，加固挡墙</w:t>
            </w:r>
            <w:r>
              <w:rPr>
                <w:rFonts w:ascii="Times New Roman" w:hAnsi="Times New Roman" w:cs="Times New Roman"/>
                <w:kern w:val="0"/>
                <w:sz w:val="18"/>
                <w:szCs w:val="18"/>
              </w:rPr>
              <w:t>4941</w:t>
            </w:r>
            <w:r>
              <w:rPr>
                <w:rFonts w:ascii="Times New Roman" w:hAnsi="Times New Roman" w:cs="Times New Roman"/>
                <w:kern w:val="0"/>
                <w:sz w:val="18"/>
                <w:szCs w:val="18"/>
              </w:rPr>
              <w:t>米。</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工程建成后可保障河道沿岸仙人桥镇中学</w:t>
            </w:r>
            <w:r>
              <w:rPr>
                <w:rFonts w:ascii="Times New Roman" w:hAnsi="Times New Roman" w:cs="Times New Roman"/>
                <w:kern w:val="0"/>
                <w:sz w:val="18"/>
                <w:szCs w:val="18"/>
              </w:rPr>
              <w:t>432</w:t>
            </w:r>
            <w:r>
              <w:rPr>
                <w:rFonts w:ascii="Times New Roman" w:hAnsi="Times New Roman" w:cs="Times New Roman"/>
                <w:kern w:val="0"/>
                <w:sz w:val="18"/>
                <w:szCs w:val="18"/>
              </w:rPr>
              <w:t>人、河北村及大营村</w:t>
            </w:r>
            <w:r>
              <w:rPr>
                <w:rFonts w:ascii="Times New Roman" w:hAnsi="Times New Roman" w:cs="Times New Roman"/>
                <w:kern w:val="0"/>
                <w:sz w:val="18"/>
                <w:szCs w:val="18"/>
              </w:rPr>
              <w:t>1816</w:t>
            </w:r>
            <w:r>
              <w:rPr>
                <w:rFonts w:ascii="Times New Roman" w:hAnsi="Times New Roman" w:cs="Times New Roman"/>
                <w:kern w:val="0"/>
                <w:sz w:val="18"/>
                <w:szCs w:val="18"/>
              </w:rPr>
              <w:t>多人口生命财产安全，</w:t>
            </w:r>
            <w:r>
              <w:rPr>
                <w:rFonts w:ascii="Times New Roman" w:hAnsi="Times New Roman" w:cs="Times New Roman"/>
                <w:kern w:val="0"/>
                <w:sz w:val="18"/>
                <w:szCs w:val="18"/>
              </w:rPr>
              <w:t>670</w:t>
            </w:r>
            <w:r>
              <w:rPr>
                <w:rFonts w:ascii="Times New Roman" w:hAnsi="Times New Roman" w:cs="Times New Roman"/>
                <w:kern w:val="0"/>
                <w:sz w:val="18"/>
                <w:szCs w:val="18"/>
              </w:rPr>
              <w:t>亩耕地免受威胁。</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2022.7-</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2887</w:t>
            </w:r>
          </w:p>
        </w:tc>
      </w:tr>
      <w:tr w:rsidR="00B9739B">
        <w:trPr>
          <w:trHeight w:val="246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4</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抚松县水系连通及水美乡村建设县</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抚松县水利局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共整治河道总长度</w:t>
            </w:r>
            <w:r>
              <w:rPr>
                <w:rFonts w:ascii="Times New Roman" w:hAnsi="Times New Roman" w:cs="Times New Roman"/>
                <w:kern w:val="0"/>
                <w:sz w:val="18"/>
                <w:szCs w:val="18"/>
              </w:rPr>
              <w:t>68.39km</w:t>
            </w:r>
            <w:r>
              <w:rPr>
                <w:rFonts w:ascii="Times New Roman" w:hAnsi="Times New Roman" w:cs="Times New Roman"/>
                <w:kern w:val="0"/>
                <w:sz w:val="18"/>
                <w:szCs w:val="18"/>
              </w:rPr>
              <w:t>新建护岸</w:t>
            </w:r>
            <w:r>
              <w:rPr>
                <w:rFonts w:ascii="Times New Roman" w:hAnsi="Times New Roman" w:cs="Times New Roman"/>
                <w:kern w:val="0"/>
                <w:sz w:val="18"/>
                <w:szCs w:val="18"/>
              </w:rPr>
              <w:t>24.41km</w:t>
            </w:r>
            <w:r>
              <w:rPr>
                <w:rFonts w:ascii="Times New Roman" w:hAnsi="Times New Roman" w:cs="Times New Roman"/>
                <w:kern w:val="0"/>
                <w:sz w:val="18"/>
                <w:szCs w:val="18"/>
              </w:rPr>
              <w:t>，拆除重建护岸</w:t>
            </w:r>
            <w:r>
              <w:rPr>
                <w:rFonts w:ascii="Times New Roman" w:hAnsi="Times New Roman" w:cs="Times New Roman"/>
                <w:kern w:val="0"/>
                <w:sz w:val="18"/>
                <w:szCs w:val="18"/>
              </w:rPr>
              <w:t>20.99km</w:t>
            </w:r>
            <w:r>
              <w:rPr>
                <w:rFonts w:ascii="Times New Roman" w:hAnsi="Times New Roman" w:cs="Times New Roman"/>
                <w:kern w:val="0"/>
                <w:sz w:val="18"/>
                <w:szCs w:val="18"/>
              </w:rPr>
              <w:t>，现状护岸基础维修加固</w:t>
            </w:r>
            <w:r>
              <w:rPr>
                <w:rFonts w:ascii="Times New Roman" w:hAnsi="Times New Roman" w:cs="Times New Roman"/>
                <w:kern w:val="0"/>
                <w:sz w:val="18"/>
                <w:szCs w:val="18"/>
              </w:rPr>
              <w:t>25.25km</w:t>
            </w:r>
            <w:r>
              <w:rPr>
                <w:rFonts w:ascii="Times New Roman" w:hAnsi="Times New Roman" w:cs="Times New Roman"/>
                <w:kern w:val="0"/>
                <w:sz w:val="18"/>
                <w:szCs w:val="18"/>
              </w:rPr>
              <w:t>。</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通过本项目实施，将抚松县水系的防洪体系进一步完善，减轻洪水灾害对区内广大人民群众的生命财产带来的威胁，确保人民群众生活安全、生产安全、粮食安全，促进农业增收。推进乡村振兴规划的实施，改善县域农村人居环境，促进美丽乡村建设。</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34000</w:t>
            </w:r>
          </w:p>
        </w:tc>
      </w:tr>
      <w:tr w:rsidR="00B9739B">
        <w:trPr>
          <w:trHeight w:val="74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吉林省抚松县抚松镇污水处理厂改造扩容工程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抚松县蓝天碧水基础设施建设有限责任公司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本项目将现有污水处理厂处理能力提高至</w:t>
            </w:r>
            <w:r>
              <w:rPr>
                <w:rFonts w:ascii="Times New Roman" w:hAnsi="Times New Roman" w:cs="Times New Roman"/>
                <w:kern w:val="0"/>
                <w:sz w:val="18"/>
                <w:szCs w:val="18"/>
              </w:rPr>
              <w:t>30000m³/d,</w:t>
            </w:r>
            <w:r>
              <w:rPr>
                <w:rFonts w:ascii="Times New Roman" w:hAnsi="Times New Roman" w:cs="Times New Roman"/>
                <w:kern w:val="0"/>
                <w:sz w:val="18"/>
                <w:szCs w:val="18"/>
              </w:rPr>
              <w:t>新建深度处理间、生物复配剂投加车间，巴氏计量渠道、污泥颗粒化筛选设备基础等建构筑物。新建建</w:t>
            </w:r>
            <w:r>
              <w:rPr>
                <w:rFonts w:ascii="Times New Roman" w:hAnsi="Times New Roman" w:cs="Times New Roman"/>
                <w:kern w:val="0"/>
                <w:sz w:val="18"/>
                <w:szCs w:val="18"/>
              </w:rPr>
              <w:t>(</w:t>
            </w:r>
            <w:r>
              <w:rPr>
                <w:rFonts w:ascii="Times New Roman" w:hAnsi="Times New Roman" w:cs="Times New Roman"/>
                <w:kern w:val="0"/>
                <w:sz w:val="18"/>
                <w:szCs w:val="18"/>
              </w:rPr>
              <w:t>构</w:t>
            </w:r>
            <w:r>
              <w:rPr>
                <w:rFonts w:ascii="Times New Roman" w:hAnsi="Times New Roman" w:cs="Times New Roman"/>
                <w:kern w:val="0"/>
                <w:sz w:val="18"/>
                <w:szCs w:val="18"/>
              </w:rPr>
              <w:t>)</w:t>
            </w:r>
            <w:r>
              <w:rPr>
                <w:rFonts w:ascii="Times New Roman" w:hAnsi="Times New Roman" w:cs="Times New Roman"/>
                <w:kern w:val="0"/>
                <w:sz w:val="18"/>
                <w:szCs w:val="18"/>
              </w:rPr>
              <w:t>筑物总占面积</w:t>
            </w:r>
            <w:r>
              <w:rPr>
                <w:rFonts w:ascii="Times New Roman" w:hAnsi="Times New Roman" w:cs="Times New Roman"/>
                <w:kern w:val="0"/>
                <w:sz w:val="18"/>
                <w:szCs w:val="18"/>
              </w:rPr>
              <w:t>507</w:t>
            </w:r>
            <w:r>
              <w:rPr>
                <w:rFonts w:ascii="Times New Roman" w:hAnsi="Times New Roman" w:cs="Times New Roman"/>
                <w:kern w:val="0"/>
                <w:sz w:val="18"/>
                <w:szCs w:val="18"/>
              </w:rPr>
              <w:t>㎡，新建建筑物建筑面积</w:t>
            </w:r>
            <w:r>
              <w:rPr>
                <w:rFonts w:ascii="Times New Roman" w:hAnsi="Times New Roman" w:cs="Times New Roman"/>
                <w:kern w:val="0"/>
                <w:sz w:val="18"/>
                <w:szCs w:val="18"/>
              </w:rPr>
              <w:t>448</w:t>
            </w:r>
            <w:r>
              <w:rPr>
                <w:rFonts w:ascii="Times New Roman" w:hAnsi="Times New Roman" w:cs="Times New Roman"/>
                <w:kern w:val="0"/>
                <w:sz w:val="18"/>
                <w:szCs w:val="18"/>
              </w:rPr>
              <w:t>㎡，拆除道路面积</w:t>
            </w:r>
            <w:r>
              <w:rPr>
                <w:rFonts w:ascii="Times New Roman" w:hAnsi="Times New Roman" w:cs="Times New Roman"/>
                <w:kern w:val="0"/>
                <w:sz w:val="18"/>
                <w:szCs w:val="18"/>
              </w:rPr>
              <w:t>123.49</w:t>
            </w:r>
            <w:r>
              <w:rPr>
                <w:rFonts w:ascii="Times New Roman" w:hAnsi="Times New Roman" w:cs="Times New Roman"/>
                <w:kern w:val="0"/>
                <w:sz w:val="18"/>
                <w:szCs w:val="18"/>
              </w:rPr>
              <w:t>㎡。购置、更换并安装各类工艺设备、电气自动化设备、视频设备等。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本项目建设充分考虑抚松县水资源承载能力和水环境承载能力，有利于减少城市污水有害物质的排放，减轻对水域的污染，可提高当时的生态环境，大力改善人民的生活条件和生活环境质量。</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5549.51</w:t>
            </w:r>
          </w:p>
        </w:tc>
      </w:tr>
      <w:tr w:rsidR="00B9739B">
        <w:trPr>
          <w:trHeight w:val="1931"/>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6</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头道松花江流域抚松段可持续发展工程（一期）</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抚松亿立城市建设开发有限公司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项目建设头道松花江生态护岸</w:t>
            </w:r>
            <w:r>
              <w:rPr>
                <w:rFonts w:ascii="Times New Roman" w:hAnsi="Times New Roman" w:cs="Times New Roman"/>
                <w:kern w:val="0"/>
                <w:sz w:val="18"/>
                <w:szCs w:val="18"/>
              </w:rPr>
              <w:t>23.7</w:t>
            </w:r>
            <w:r>
              <w:rPr>
                <w:rFonts w:ascii="Times New Roman" w:hAnsi="Times New Roman" w:cs="Times New Roman"/>
                <w:kern w:val="0"/>
                <w:sz w:val="18"/>
                <w:szCs w:val="18"/>
              </w:rPr>
              <w:t>公里，生态步道</w:t>
            </w:r>
            <w:r>
              <w:rPr>
                <w:rFonts w:ascii="Times New Roman" w:hAnsi="Times New Roman" w:cs="Times New Roman"/>
                <w:kern w:val="0"/>
                <w:sz w:val="18"/>
                <w:szCs w:val="18"/>
              </w:rPr>
              <w:t>6.5</w:t>
            </w:r>
            <w:r>
              <w:rPr>
                <w:rFonts w:ascii="Times New Roman" w:hAnsi="Times New Roman" w:cs="Times New Roman"/>
                <w:kern w:val="0"/>
                <w:sz w:val="18"/>
                <w:szCs w:val="18"/>
              </w:rPr>
              <w:t>公里。</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工程的建设不仅可以缓解该段河道水生态、水环境破坏问题，同时也扩大了北江水上公园的规模，可带来餐饮、住宿等收入，拉动地方经济，综合考虑地方经济发展估算工程年收益约为</w:t>
            </w:r>
            <w:r>
              <w:rPr>
                <w:rFonts w:ascii="Times New Roman" w:hAnsi="Times New Roman" w:cs="Times New Roman"/>
                <w:kern w:val="0"/>
                <w:sz w:val="18"/>
                <w:szCs w:val="18"/>
              </w:rPr>
              <w:t>500</w:t>
            </w:r>
            <w:r>
              <w:rPr>
                <w:rFonts w:ascii="Times New Roman" w:hAnsi="Times New Roman" w:cs="Times New Roman"/>
                <w:kern w:val="0"/>
                <w:sz w:val="18"/>
                <w:szCs w:val="18"/>
              </w:rPr>
              <w:t>万元，效益十分可观。</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2022.8-</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4065</w:t>
            </w:r>
          </w:p>
        </w:tc>
      </w:tr>
      <w:tr w:rsidR="00B9739B">
        <w:trPr>
          <w:trHeight w:val="1532"/>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7</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抚松新城热力有限公司</w:t>
            </w:r>
            <w:r>
              <w:rPr>
                <w:rFonts w:ascii="Times New Roman" w:hAnsi="Times New Roman" w:cs="Times New Roman"/>
                <w:kern w:val="0"/>
                <w:sz w:val="18"/>
                <w:szCs w:val="18"/>
              </w:rPr>
              <w:t>3×64MW+1×46MW</w:t>
            </w:r>
            <w:r>
              <w:rPr>
                <w:rFonts w:ascii="Times New Roman" w:hAnsi="Times New Roman" w:cs="Times New Roman"/>
                <w:kern w:val="0"/>
                <w:sz w:val="18"/>
                <w:szCs w:val="18"/>
              </w:rPr>
              <w:t>煤粉热水炉超低排放改造工程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抚松县生态环境局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抚松新城热力有限公司现有</w:t>
            </w:r>
            <w:r>
              <w:rPr>
                <w:rFonts w:ascii="Times New Roman" w:hAnsi="Times New Roman" w:cs="Times New Roman"/>
                <w:kern w:val="0"/>
                <w:sz w:val="18"/>
                <w:szCs w:val="18"/>
              </w:rPr>
              <w:t>3×64MW+1×46MW</w:t>
            </w:r>
            <w:r>
              <w:rPr>
                <w:rFonts w:ascii="Times New Roman" w:hAnsi="Times New Roman" w:cs="Times New Roman"/>
                <w:kern w:val="0"/>
                <w:sz w:val="18"/>
                <w:szCs w:val="18"/>
              </w:rPr>
              <w:t>煤粉热水炉，进行烟气除尘、脱硫、脱硝超低排放改造，达到超低排放要求：粉尘</w:t>
            </w:r>
            <w:r>
              <w:rPr>
                <w:rFonts w:ascii="Times New Roman" w:hAnsi="Times New Roman" w:cs="Times New Roman"/>
                <w:kern w:val="0"/>
                <w:sz w:val="18"/>
                <w:szCs w:val="18"/>
              </w:rPr>
              <w:t>≤10mg/Nm3</w:t>
            </w:r>
            <w:r>
              <w:rPr>
                <w:rFonts w:ascii="Times New Roman" w:hAnsi="Times New Roman" w:cs="Times New Roman"/>
                <w:kern w:val="0"/>
                <w:sz w:val="18"/>
                <w:szCs w:val="18"/>
              </w:rPr>
              <w:t>，</w:t>
            </w:r>
            <w:r>
              <w:rPr>
                <w:rFonts w:ascii="Times New Roman" w:hAnsi="Times New Roman" w:cs="Times New Roman"/>
                <w:kern w:val="0"/>
                <w:sz w:val="18"/>
                <w:szCs w:val="18"/>
              </w:rPr>
              <w:t>SO2≤35mg/Nm3</w:t>
            </w:r>
            <w:r>
              <w:rPr>
                <w:rFonts w:ascii="Times New Roman" w:hAnsi="Times New Roman" w:cs="Times New Roman"/>
                <w:kern w:val="0"/>
                <w:sz w:val="18"/>
                <w:szCs w:val="18"/>
              </w:rPr>
              <w:t>，</w:t>
            </w:r>
            <w:r>
              <w:rPr>
                <w:rFonts w:ascii="Times New Roman" w:hAnsi="Times New Roman" w:cs="Times New Roman"/>
                <w:kern w:val="0"/>
                <w:sz w:val="18"/>
                <w:szCs w:val="18"/>
              </w:rPr>
              <w:t>NOx≤50mg/Nm3</w:t>
            </w:r>
            <w:r>
              <w:rPr>
                <w:rFonts w:ascii="Times New Roman" w:hAnsi="Times New Roman" w:cs="Times New Roman"/>
                <w:kern w:val="0"/>
                <w:sz w:val="18"/>
                <w:szCs w:val="18"/>
              </w:rPr>
              <w:t>。年减排烟尘</w:t>
            </w:r>
            <w:r>
              <w:rPr>
                <w:rFonts w:ascii="Times New Roman" w:hAnsi="Times New Roman" w:cs="Times New Roman"/>
                <w:kern w:val="0"/>
                <w:sz w:val="18"/>
                <w:szCs w:val="18"/>
              </w:rPr>
              <w:t>71.6</w:t>
            </w:r>
            <w:r>
              <w:rPr>
                <w:rFonts w:ascii="Times New Roman" w:hAnsi="Times New Roman" w:cs="Times New Roman"/>
                <w:kern w:val="0"/>
                <w:sz w:val="18"/>
                <w:szCs w:val="18"/>
              </w:rPr>
              <w:t>吨，二氧化硫</w:t>
            </w:r>
            <w:r>
              <w:rPr>
                <w:rFonts w:ascii="Times New Roman" w:hAnsi="Times New Roman" w:cs="Times New Roman"/>
                <w:kern w:val="0"/>
                <w:sz w:val="18"/>
                <w:szCs w:val="18"/>
              </w:rPr>
              <w:t>295.5</w:t>
            </w:r>
            <w:r>
              <w:rPr>
                <w:rFonts w:ascii="Times New Roman" w:hAnsi="Times New Roman" w:cs="Times New Roman"/>
                <w:kern w:val="0"/>
                <w:sz w:val="18"/>
                <w:szCs w:val="18"/>
              </w:rPr>
              <w:t>吨，氮氧化物</w:t>
            </w:r>
            <w:r>
              <w:rPr>
                <w:rFonts w:ascii="Times New Roman" w:hAnsi="Times New Roman" w:cs="Times New Roman"/>
                <w:kern w:val="0"/>
                <w:sz w:val="18"/>
                <w:szCs w:val="18"/>
              </w:rPr>
              <w:t>537.3</w:t>
            </w:r>
            <w:r>
              <w:rPr>
                <w:rFonts w:ascii="Times New Roman" w:hAnsi="Times New Roman" w:cs="Times New Roman"/>
                <w:kern w:val="0"/>
                <w:sz w:val="18"/>
                <w:szCs w:val="18"/>
              </w:rPr>
              <w:t>吨（供暖季运行）。</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生态效益指标：烟尘减排量</w:t>
            </w:r>
            <w:r>
              <w:rPr>
                <w:rFonts w:ascii="Times New Roman" w:hAnsi="Times New Roman" w:cs="Times New Roman"/>
                <w:kern w:val="0"/>
                <w:sz w:val="18"/>
                <w:szCs w:val="18"/>
              </w:rPr>
              <w:t xml:space="preserve"> 71.6</w:t>
            </w:r>
            <w:r>
              <w:rPr>
                <w:rFonts w:ascii="Times New Roman" w:hAnsi="Times New Roman" w:cs="Times New Roman"/>
                <w:kern w:val="0"/>
                <w:sz w:val="18"/>
                <w:szCs w:val="18"/>
              </w:rPr>
              <w:t>吨；氮氧化物减排量</w:t>
            </w:r>
            <w:r>
              <w:rPr>
                <w:rFonts w:ascii="Times New Roman" w:hAnsi="Times New Roman" w:cs="Times New Roman"/>
                <w:kern w:val="0"/>
                <w:sz w:val="18"/>
                <w:szCs w:val="18"/>
              </w:rPr>
              <w:t xml:space="preserve"> 537.3</w:t>
            </w:r>
            <w:r>
              <w:rPr>
                <w:rFonts w:ascii="Times New Roman" w:hAnsi="Times New Roman" w:cs="Times New Roman"/>
                <w:kern w:val="0"/>
                <w:sz w:val="18"/>
                <w:szCs w:val="18"/>
              </w:rPr>
              <w:t>吨；</w:t>
            </w:r>
            <w:r>
              <w:rPr>
                <w:rFonts w:ascii="Times New Roman" w:hAnsi="Times New Roman" w:cs="Times New Roman"/>
                <w:kern w:val="0"/>
                <w:sz w:val="18"/>
                <w:szCs w:val="18"/>
              </w:rPr>
              <w:t xml:space="preserve"> </w:t>
            </w:r>
            <w:r>
              <w:rPr>
                <w:rFonts w:ascii="Times New Roman" w:hAnsi="Times New Roman" w:cs="Times New Roman"/>
                <w:kern w:val="0"/>
                <w:sz w:val="18"/>
                <w:szCs w:val="18"/>
              </w:rPr>
              <w:t>二氧化硫减排量</w:t>
            </w:r>
            <w:r>
              <w:rPr>
                <w:rFonts w:ascii="Times New Roman" w:hAnsi="Times New Roman" w:cs="Times New Roman"/>
                <w:kern w:val="0"/>
                <w:sz w:val="18"/>
                <w:szCs w:val="18"/>
              </w:rPr>
              <w:t xml:space="preserve"> 295.5</w:t>
            </w:r>
            <w:r>
              <w:rPr>
                <w:rFonts w:ascii="Times New Roman" w:hAnsi="Times New Roman" w:cs="Times New Roman"/>
                <w:kern w:val="0"/>
                <w:sz w:val="18"/>
                <w:szCs w:val="18"/>
              </w:rPr>
              <w:t>吨。</w:t>
            </w:r>
          </w:p>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可持续影响指标：污染治理设施持续运行长期。</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3000</w:t>
            </w:r>
          </w:p>
        </w:tc>
      </w:tr>
      <w:tr w:rsidR="00B9739B">
        <w:trPr>
          <w:trHeight w:val="2103"/>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8</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抚松县饮用水水源地保护区规范化建设工程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抚松县生态环境局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保障农村居民饮用水安全，初步建成规范化的农村水源地安全保障体系，对抚松县</w:t>
            </w:r>
            <w:r>
              <w:rPr>
                <w:rFonts w:ascii="Times New Roman" w:hAnsi="Times New Roman" w:cs="Times New Roman"/>
                <w:kern w:val="0"/>
                <w:sz w:val="18"/>
                <w:szCs w:val="18"/>
              </w:rPr>
              <w:t>2</w:t>
            </w:r>
            <w:r>
              <w:rPr>
                <w:rFonts w:ascii="Times New Roman" w:hAnsi="Times New Roman" w:cs="Times New Roman"/>
                <w:kern w:val="0"/>
                <w:sz w:val="18"/>
                <w:szCs w:val="18"/>
              </w:rPr>
              <w:t>个天然矿泉水饮用水源地保护区、</w:t>
            </w:r>
            <w:r>
              <w:rPr>
                <w:rFonts w:ascii="Times New Roman" w:hAnsi="Times New Roman" w:cs="Times New Roman"/>
                <w:kern w:val="0"/>
                <w:sz w:val="18"/>
                <w:szCs w:val="18"/>
              </w:rPr>
              <w:t>2</w:t>
            </w:r>
            <w:r>
              <w:rPr>
                <w:rFonts w:ascii="Times New Roman" w:hAnsi="Times New Roman" w:cs="Times New Roman"/>
                <w:kern w:val="0"/>
                <w:sz w:val="18"/>
                <w:szCs w:val="18"/>
              </w:rPr>
              <w:t>个县城城镇集中式饮用水水源地保护区以及</w:t>
            </w:r>
            <w:r>
              <w:rPr>
                <w:rFonts w:ascii="Times New Roman" w:hAnsi="Times New Roman" w:cs="Times New Roman"/>
                <w:kern w:val="0"/>
                <w:sz w:val="18"/>
                <w:szCs w:val="18"/>
              </w:rPr>
              <w:t>26</w:t>
            </w:r>
            <w:r>
              <w:rPr>
                <w:rFonts w:ascii="Times New Roman" w:hAnsi="Times New Roman" w:cs="Times New Roman"/>
                <w:kern w:val="0"/>
                <w:sz w:val="18"/>
                <w:szCs w:val="18"/>
              </w:rPr>
              <w:t>个农村饮用水源地保护区，进行规范化工程建设。</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饮用水源地建设规范化可以使生态环境得到改善，良好的生态环境将增加乡镇魅力，从而拉动投资，激活经济活力，推动流域旅游业的发展，带动第三产业的发展，继而拉动消费，增加就业。增加</w:t>
            </w:r>
            <w:r>
              <w:rPr>
                <w:rFonts w:ascii="Times New Roman" w:hAnsi="Times New Roman" w:cs="Times New Roman"/>
                <w:kern w:val="0"/>
                <w:sz w:val="18"/>
                <w:szCs w:val="18"/>
              </w:rPr>
              <w:t>GDP100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1853.57</w:t>
            </w:r>
          </w:p>
        </w:tc>
      </w:tr>
      <w:tr w:rsidR="00B9739B">
        <w:trPr>
          <w:trHeight w:val="222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9</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吉林省抚松县仁义污水处理工程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抚松县蓝天碧水基础设施建设有限责任公司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建设污水一座处理规模为</w:t>
            </w:r>
            <w:r>
              <w:rPr>
                <w:rFonts w:ascii="Times New Roman" w:hAnsi="Times New Roman" w:cs="Times New Roman"/>
                <w:kern w:val="0"/>
                <w:sz w:val="18"/>
                <w:szCs w:val="18"/>
              </w:rPr>
              <w:t>0.5</w:t>
            </w:r>
            <w:r>
              <w:rPr>
                <w:rFonts w:ascii="Times New Roman" w:hAnsi="Times New Roman" w:cs="Times New Roman"/>
                <w:kern w:val="0"/>
                <w:sz w:val="18"/>
                <w:szCs w:val="18"/>
              </w:rPr>
              <w:t>万立方米</w:t>
            </w:r>
            <w:r>
              <w:rPr>
                <w:rFonts w:ascii="Times New Roman" w:hAnsi="Times New Roman" w:cs="Times New Roman"/>
                <w:kern w:val="0"/>
                <w:sz w:val="18"/>
                <w:szCs w:val="18"/>
              </w:rPr>
              <w:t>/</w:t>
            </w:r>
            <w:r>
              <w:rPr>
                <w:rFonts w:ascii="Times New Roman" w:hAnsi="Times New Roman" w:cs="Times New Roman"/>
                <w:kern w:val="0"/>
                <w:sz w:val="18"/>
                <w:szCs w:val="18"/>
              </w:rPr>
              <w:t>天的污水处理厂，污水管线</w:t>
            </w:r>
            <w:r>
              <w:rPr>
                <w:rFonts w:ascii="Times New Roman" w:hAnsi="Times New Roman" w:cs="Times New Roman"/>
                <w:kern w:val="0"/>
                <w:sz w:val="18"/>
                <w:szCs w:val="18"/>
              </w:rPr>
              <w:t>7.9</w:t>
            </w:r>
            <w:r>
              <w:rPr>
                <w:rFonts w:ascii="Times New Roman" w:hAnsi="Times New Roman" w:cs="Times New Roman"/>
                <w:kern w:val="0"/>
                <w:sz w:val="18"/>
                <w:szCs w:val="18"/>
              </w:rPr>
              <w:t>公里，购置设备等。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该项目促进当地经济、社会和环境的协调发展、创造良好投资环境等方面。同时，本工程的建设也是进一步落实以人为本的科学发展观、构建和谐社会的重要举措，必将对当地社会经济产生深远的影响。</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9924.67</w:t>
            </w:r>
          </w:p>
        </w:tc>
      </w:tr>
      <w:tr w:rsidR="00B9739B">
        <w:trPr>
          <w:trHeight w:val="173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10</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松江河镇污水主干线改造工程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抚松县蓝天碧水基础设施建设有限责任公司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对既有污水主管线及污水检查井进行维修、改造。预计维修改造污水主管线</w:t>
            </w:r>
            <w:r>
              <w:rPr>
                <w:rFonts w:ascii="Times New Roman" w:hAnsi="Times New Roman" w:cs="Times New Roman"/>
                <w:kern w:val="0"/>
                <w:sz w:val="18"/>
                <w:szCs w:val="18"/>
              </w:rPr>
              <w:t>5600</w:t>
            </w:r>
            <w:r>
              <w:rPr>
                <w:rFonts w:ascii="Times New Roman" w:hAnsi="Times New Roman" w:cs="Times New Roman"/>
                <w:kern w:val="0"/>
                <w:sz w:val="18"/>
                <w:szCs w:val="18"/>
              </w:rPr>
              <w:t>米，维修污水井</w:t>
            </w:r>
            <w:r>
              <w:rPr>
                <w:rFonts w:ascii="Times New Roman" w:hAnsi="Times New Roman" w:cs="Times New Roman"/>
                <w:kern w:val="0"/>
                <w:sz w:val="18"/>
                <w:szCs w:val="18"/>
              </w:rPr>
              <w:t>69</w:t>
            </w:r>
            <w:r>
              <w:rPr>
                <w:rFonts w:ascii="Times New Roman" w:hAnsi="Times New Roman" w:cs="Times New Roman"/>
                <w:kern w:val="0"/>
                <w:sz w:val="18"/>
                <w:szCs w:val="18"/>
              </w:rPr>
              <w:t>座，既有管线清淤</w:t>
            </w:r>
            <w:r>
              <w:rPr>
                <w:rFonts w:ascii="Times New Roman" w:hAnsi="Times New Roman" w:cs="Times New Roman"/>
                <w:kern w:val="0"/>
                <w:sz w:val="18"/>
                <w:szCs w:val="18"/>
              </w:rPr>
              <w:t>2000</w:t>
            </w:r>
            <w:r>
              <w:rPr>
                <w:rFonts w:ascii="Times New Roman" w:hAnsi="Times New Roman" w:cs="Times New Roman"/>
                <w:kern w:val="0"/>
                <w:sz w:val="18"/>
                <w:szCs w:val="18"/>
              </w:rPr>
              <w:t>米。</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工程的建设符合松江河镇总体规划要求，它的建设不仅能够完善松江河镇的排水管线建设，而且能够为松江河镇的整体开发建设提供保障，带动区域经济发展，建设社会效益显著。</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7464.98</w:t>
            </w:r>
          </w:p>
        </w:tc>
      </w:tr>
      <w:tr w:rsidR="00B9739B">
        <w:trPr>
          <w:trHeight w:val="232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抚松县垃圾无害化处理场封场工程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抚松县蓝天碧水基础设施建设有限责任公司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建设规模为占地面积</w:t>
            </w:r>
            <w:r>
              <w:rPr>
                <w:rFonts w:ascii="Times New Roman" w:hAnsi="Times New Roman" w:cs="Times New Roman"/>
                <w:kern w:val="0"/>
                <w:sz w:val="18"/>
                <w:szCs w:val="18"/>
              </w:rPr>
              <w:t>4.627</w:t>
            </w:r>
            <w:r>
              <w:rPr>
                <w:rFonts w:ascii="Times New Roman" w:hAnsi="Times New Roman" w:cs="Times New Roman"/>
                <w:kern w:val="0"/>
                <w:sz w:val="18"/>
                <w:szCs w:val="18"/>
              </w:rPr>
              <w:t>公顷，其中封场填埋库区占地面积</w:t>
            </w:r>
            <w:r>
              <w:rPr>
                <w:rFonts w:ascii="Times New Roman" w:hAnsi="Times New Roman" w:cs="Times New Roman"/>
                <w:kern w:val="0"/>
                <w:sz w:val="18"/>
                <w:szCs w:val="18"/>
              </w:rPr>
              <w:t>4.527</w:t>
            </w:r>
            <w:r>
              <w:rPr>
                <w:rFonts w:ascii="Times New Roman" w:hAnsi="Times New Roman" w:cs="Times New Roman"/>
                <w:kern w:val="0"/>
                <w:sz w:val="18"/>
                <w:szCs w:val="18"/>
              </w:rPr>
              <w:t>公顷。封场填埋气火炬处理、地下水监测井占地面积</w:t>
            </w:r>
            <w:r>
              <w:rPr>
                <w:rFonts w:ascii="Times New Roman" w:hAnsi="Times New Roman" w:cs="Times New Roman"/>
                <w:kern w:val="0"/>
                <w:sz w:val="18"/>
                <w:szCs w:val="18"/>
              </w:rPr>
              <w:t>0.1</w:t>
            </w:r>
            <w:r>
              <w:rPr>
                <w:rFonts w:ascii="Times New Roman" w:hAnsi="Times New Roman" w:cs="Times New Roman"/>
                <w:kern w:val="0"/>
                <w:sz w:val="18"/>
                <w:szCs w:val="18"/>
              </w:rPr>
              <w:t>公顷。主要进行填埋气体导排处理完善、填埋区垃圾堆体绿化、环境与安全监测、填埋区垃圾堆体整形、封场覆盖工程建设。</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隔绝垃圾与外界的联系，提高填埋场周边生活环境质量，减少雨水和外来水渗到垃圾堆体内，防止地表径流被污染，为植被的生长提供土壤，水土保持效果良好，改善填埋气部分无序排放的局面，填埋气体被收集，进行发电利用，还有经济效益。</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2022.8-</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2378</w:t>
            </w:r>
          </w:p>
        </w:tc>
      </w:tr>
      <w:tr w:rsidR="00B9739B">
        <w:trPr>
          <w:trHeight w:val="161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新屯子镇大东村侵蚀沟治理项目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抚松县水利局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建设内容：维修</w:t>
            </w:r>
            <w:r>
              <w:rPr>
                <w:rFonts w:ascii="Times New Roman" w:hAnsi="Times New Roman" w:cs="Times New Roman"/>
                <w:kern w:val="0"/>
                <w:sz w:val="18"/>
                <w:szCs w:val="18"/>
              </w:rPr>
              <w:t>30</w:t>
            </w:r>
            <w:r>
              <w:rPr>
                <w:rFonts w:ascii="Times New Roman" w:hAnsi="Times New Roman" w:cs="Times New Roman"/>
                <w:kern w:val="0"/>
                <w:sz w:val="18"/>
                <w:szCs w:val="18"/>
              </w:rPr>
              <w:t>条侵蚀沟，实施坡改梯</w:t>
            </w:r>
            <w:r>
              <w:rPr>
                <w:rFonts w:ascii="Times New Roman" w:hAnsi="Times New Roman" w:cs="Times New Roman"/>
                <w:kern w:val="0"/>
                <w:sz w:val="18"/>
                <w:szCs w:val="18"/>
              </w:rPr>
              <w:t>20</w:t>
            </w:r>
            <w:r>
              <w:rPr>
                <w:rFonts w:ascii="Times New Roman" w:hAnsi="Times New Roman" w:cs="Times New Roman"/>
                <w:kern w:val="0"/>
                <w:sz w:val="18"/>
                <w:szCs w:val="18"/>
              </w:rPr>
              <w:t>公顷</w:t>
            </w:r>
            <w:r>
              <w:rPr>
                <w:rFonts w:ascii="Times New Roman" w:hAnsi="Times New Roman" w:cs="Times New Roman"/>
                <w:kern w:val="0"/>
                <w:sz w:val="18"/>
                <w:szCs w:val="18"/>
              </w:rPr>
              <w:t>,</w:t>
            </w:r>
            <w:r>
              <w:rPr>
                <w:rFonts w:ascii="Times New Roman" w:hAnsi="Times New Roman" w:cs="Times New Roman"/>
                <w:kern w:val="0"/>
                <w:sz w:val="18"/>
                <w:szCs w:val="18"/>
              </w:rPr>
              <w:t>水保林</w:t>
            </w:r>
            <w:r>
              <w:rPr>
                <w:rFonts w:ascii="Times New Roman" w:hAnsi="Times New Roman" w:cs="Times New Roman"/>
                <w:kern w:val="0"/>
                <w:sz w:val="18"/>
                <w:szCs w:val="18"/>
              </w:rPr>
              <w:t>20</w:t>
            </w:r>
            <w:r>
              <w:rPr>
                <w:rFonts w:ascii="Times New Roman" w:hAnsi="Times New Roman" w:cs="Times New Roman"/>
                <w:kern w:val="0"/>
                <w:sz w:val="18"/>
                <w:szCs w:val="18"/>
              </w:rPr>
              <w:t>公顷，路边植树</w:t>
            </w:r>
            <w:r>
              <w:rPr>
                <w:rFonts w:ascii="Times New Roman" w:hAnsi="Times New Roman" w:cs="Times New Roman"/>
                <w:kern w:val="0"/>
                <w:sz w:val="18"/>
                <w:szCs w:val="18"/>
              </w:rPr>
              <w:t>11000</w:t>
            </w:r>
            <w:r>
              <w:rPr>
                <w:rFonts w:ascii="Times New Roman" w:hAnsi="Times New Roman" w:cs="Times New Roman"/>
                <w:kern w:val="0"/>
                <w:sz w:val="18"/>
                <w:szCs w:val="18"/>
              </w:rPr>
              <w:t>棵，作业便道</w:t>
            </w:r>
            <w:r>
              <w:rPr>
                <w:rFonts w:ascii="Times New Roman" w:hAnsi="Times New Roman" w:cs="Times New Roman"/>
                <w:kern w:val="0"/>
                <w:sz w:val="18"/>
                <w:szCs w:val="18"/>
              </w:rPr>
              <w:t>1.6</w:t>
            </w:r>
            <w:r>
              <w:rPr>
                <w:rFonts w:ascii="Times New Roman" w:hAnsi="Times New Roman" w:cs="Times New Roman"/>
                <w:kern w:val="0"/>
                <w:sz w:val="18"/>
                <w:szCs w:val="18"/>
              </w:rPr>
              <w:t>公里。</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优化措施配置，实施侵蚀沟治理，让水利工程真正惠民、利民，最大程度遏制水土流失，保护生态资源，让黑土地发挥最大效益，为农民群众增产增收提供支撑和保障。</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2023.11</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620</w:t>
            </w:r>
          </w:p>
        </w:tc>
      </w:tr>
      <w:tr w:rsidR="00B9739B">
        <w:trPr>
          <w:trHeight w:val="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吉林漫江生态文化旅游综合开发项目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吉林鲁能漫江生态旅游开发有限公司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人工湿地</w:t>
            </w:r>
            <w:r>
              <w:rPr>
                <w:rFonts w:ascii="Times New Roman" w:hAnsi="Times New Roman" w:cs="Times New Roman"/>
                <w:kern w:val="0"/>
                <w:sz w:val="18"/>
                <w:szCs w:val="18"/>
              </w:rPr>
              <w:t>30000</w:t>
            </w:r>
            <w:r>
              <w:rPr>
                <w:rFonts w:ascii="Times New Roman" w:hAnsi="Times New Roman" w:cs="Times New Roman"/>
                <w:kern w:val="0"/>
                <w:sz w:val="18"/>
                <w:szCs w:val="18"/>
              </w:rPr>
              <w:t>平方米，生态隔离带</w:t>
            </w:r>
            <w:r>
              <w:rPr>
                <w:rFonts w:ascii="Times New Roman" w:hAnsi="Times New Roman" w:cs="Times New Roman"/>
                <w:kern w:val="0"/>
                <w:sz w:val="18"/>
                <w:szCs w:val="18"/>
              </w:rPr>
              <w:t>465262</w:t>
            </w:r>
            <w:r>
              <w:rPr>
                <w:rFonts w:ascii="Times New Roman" w:hAnsi="Times New Roman" w:cs="Times New Roman"/>
                <w:kern w:val="0"/>
                <w:sz w:val="18"/>
                <w:szCs w:val="18"/>
              </w:rPr>
              <w:t>平方米，生态步道</w:t>
            </w:r>
            <w:r>
              <w:rPr>
                <w:rFonts w:ascii="Times New Roman" w:hAnsi="Times New Roman" w:cs="Times New Roman"/>
                <w:kern w:val="0"/>
                <w:sz w:val="18"/>
                <w:szCs w:val="18"/>
              </w:rPr>
              <w:t>17.73</w:t>
            </w:r>
            <w:r>
              <w:rPr>
                <w:rFonts w:ascii="Times New Roman" w:hAnsi="Times New Roman" w:cs="Times New Roman"/>
                <w:kern w:val="0"/>
                <w:sz w:val="18"/>
                <w:szCs w:val="18"/>
              </w:rPr>
              <w:t>公里，生态护岸</w:t>
            </w:r>
            <w:r>
              <w:rPr>
                <w:rFonts w:ascii="Times New Roman" w:hAnsi="Times New Roman" w:cs="Times New Roman"/>
                <w:kern w:val="0"/>
                <w:sz w:val="18"/>
                <w:szCs w:val="18"/>
              </w:rPr>
              <w:t>0.5</w:t>
            </w:r>
            <w:r>
              <w:rPr>
                <w:rFonts w:ascii="Times New Roman" w:hAnsi="Times New Roman" w:cs="Times New Roman"/>
                <w:kern w:val="0"/>
                <w:sz w:val="18"/>
                <w:szCs w:val="18"/>
              </w:rPr>
              <w:t>公里，污水管</w:t>
            </w:r>
            <w:r>
              <w:rPr>
                <w:rFonts w:ascii="Times New Roman" w:hAnsi="Times New Roman" w:cs="Times New Roman"/>
                <w:kern w:val="0"/>
                <w:sz w:val="18"/>
                <w:szCs w:val="18"/>
              </w:rPr>
              <w:t>2.59</w:t>
            </w:r>
            <w:r>
              <w:rPr>
                <w:rFonts w:ascii="Times New Roman" w:hAnsi="Times New Roman" w:cs="Times New Roman"/>
                <w:kern w:val="0"/>
                <w:sz w:val="18"/>
                <w:szCs w:val="18"/>
              </w:rPr>
              <w:t>公里，垃圾转运站</w:t>
            </w:r>
            <w:r>
              <w:rPr>
                <w:rFonts w:ascii="Times New Roman" w:hAnsi="Times New Roman" w:cs="Times New Roman"/>
                <w:kern w:val="0"/>
                <w:sz w:val="18"/>
                <w:szCs w:val="18"/>
              </w:rPr>
              <w:t>120</w:t>
            </w:r>
            <w:r>
              <w:rPr>
                <w:rFonts w:ascii="Times New Roman" w:hAnsi="Times New Roman" w:cs="Times New Roman"/>
                <w:kern w:val="0"/>
                <w:sz w:val="18"/>
                <w:szCs w:val="18"/>
              </w:rPr>
              <w:t>平方米。</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头道松花江流域被批准为国家第二批流域水环境综合治理与可持续发展试点，有利于改善头道松花江水质，改善头道松花江水生态环境，促进头道松花江流域经济发展。</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5000</w:t>
            </w:r>
          </w:p>
        </w:tc>
      </w:tr>
      <w:tr w:rsidR="00B9739B">
        <w:trPr>
          <w:trHeight w:val="863"/>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14</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抚松县林业有害生物防控体系建设</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抚松县林业局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抚松县林业有害生物防控体系基础设施建设。</w:t>
            </w:r>
            <w:r>
              <w:rPr>
                <w:rFonts w:ascii="Times New Roman" w:hAnsi="Times New Roman" w:cs="Times New Roman"/>
                <w:kern w:val="0"/>
                <w:sz w:val="18"/>
                <w:szCs w:val="18"/>
              </w:rPr>
              <w:t>2023</w:t>
            </w:r>
            <w:r>
              <w:rPr>
                <w:rFonts w:ascii="Times New Roman" w:hAnsi="Times New Roman" w:cs="Times New Roman"/>
                <w:kern w:val="0"/>
                <w:sz w:val="18"/>
                <w:szCs w:val="18"/>
              </w:rPr>
              <w:t>年计划完成购置松材线虫</w:t>
            </w:r>
            <w:r>
              <w:rPr>
                <w:rFonts w:ascii="Times New Roman" w:hAnsi="Times New Roman" w:cs="Times New Roman"/>
                <w:kern w:val="0"/>
                <w:sz w:val="18"/>
                <w:szCs w:val="18"/>
              </w:rPr>
              <w:t>PCR</w:t>
            </w:r>
            <w:r>
              <w:rPr>
                <w:rFonts w:ascii="Times New Roman" w:hAnsi="Times New Roman" w:cs="Times New Roman"/>
                <w:kern w:val="0"/>
                <w:sz w:val="18"/>
                <w:szCs w:val="18"/>
              </w:rPr>
              <w:t>检测仪</w:t>
            </w:r>
            <w:r>
              <w:rPr>
                <w:rFonts w:ascii="Times New Roman" w:hAnsi="Times New Roman" w:cs="Times New Roman"/>
                <w:kern w:val="0"/>
                <w:sz w:val="18"/>
                <w:szCs w:val="18"/>
              </w:rPr>
              <w:t>1</w:t>
            </w:r>
            <w:r>
              <w:rPr>
                <w:rFonts w:ascii="Times New Roman" w:hAnsi="Times New Roman" w:cs="Times New Roman"/>
                <w:kern w:val="0"/>
                <w:sz w:val="18"/>
                <w:szCs w:val="18"/>
              </w:rPr>
              <w:t>套，林业双光源诱虫灯</w:t>
            </w:r>
            <w:r>
              <w:rPr>
                <w:rFonts w:ascii="Times New Roman" w:hAnsi="Times New Roman" w:cs="Times New Roman"/>
                <w:kern w:val="0"/>
                <w:sz w:val="18"/>
                <w:szCs w:val="18"/>
              </w:rPr>
              <w:t>3</w:t>
            </w:r>
            <w:r>
              <w:rPr>
                <w:rFonts w:ascii="Times New Roman" w:hAnsi="Times New Roman" w:cs="Times New Roman"/>
                <w:kern w:val="0"/>
                <w:sz w:val="18"/>
                <w:szCs w:val="18"/>
              </w:rPr>
              <w:t>台，监测用工具箱</w:t>
            </w:r>
            <w:r>
              <w:rPr>
                <w:rFonts w:ascii="Times New Roman" w:hAnsi="Times New Roman" w:cs="Times New Roman"/>
                <w:kern w:val="0"/>
                <w:sz w:val="18"/>
                <w:szCs w:val="18"/>
              </w:rPr>
              <w:t>10</w:t>
            </w:r>
            <w:r>
              <w:rPr>
                <w:rFonts w:ascii="Times New Roman" w:hAnsi="Times New Roman" w:cs="Times New Roman"/>
                <w:kern w:val="0"/>
                <w:sz w:val="18"/>
                <w:szCs w:val="18"/>
              </w:rPr>
              <w:t>套，监测用摩托车</w:t>
            </w:r>
            <w:r>
              <w:rPr>
                <w:rFonts w:ascii="Times New Roman" w:hAnsi="Times New Roman" w:cs="Times New Roman"/>
                <w:kern w:val="0"/>
                <w:sz w:val="18"/>
                <w:szCs w:val="18"/>
              </w:rPr>
              <w:t>7</w:t>
            </w:r>
            <w:r>
              <w:rPr>
                <w:rFonts w:ascii="Times New Roman" w:hAnsi="Times New Roman" w:cs="Times New Roman"/>
                <w:kern w:val="0"/>
                <w:sz w:val="18"/>
                <w:szCs w:val="18"/>
              </w:rPr>
              <w:t>台，计划总投资</w:t>
            </w:r>
            <w:r>
              <w:rPr>
                <w:rFonts w:ascii="Times New Roman" w:hAnsi="Times New Roman" w:cs="Times New Roman"/>
                <w:kern w:val="0"/>
                <w:sz w:val="18"/>
                <w:szCs w:val="18"/>
              </w:rPr>
              <w:t>29.98</w:t>
            </w:r>
            <w:r>
              <w:rPr>
                <w:rFonts w:ascii="Times New Roman" w:hAnsi="Times New Roman" w:cs="Times New Roman"/>
                <w:kern w:val="0"/>
                <w:sz w:val="18"/>
                <w:szCs w:val="18"/>
              </w:rPr>
              <w:t>万元。</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项目建成后，能有效地提升松材线虫病疫情监测能力和手段，满足松材线虫病疫情监测工作，及时发现松材线虫病并加以管控。</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2022.7-</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2025.7</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1066</w:t>
            </w:r>
          </w:p>
        </w:tc>
      </w:tr>
      <w:tr w:rsidR="00B9739B">
        <w:trPr>
          <w:trHeight w:val="603"/>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2874" w:type="dxa"/>
            <w:gridSpan w:val="7"/>
            <w:tcBorders>
              <w:top w:val="single" w:sz="4" w:space="0" w:color="auto"/>
              <w:left w:val="single" w:sz="4" w:space="0" w:color="auto"/>
              <w:bottom w:val="single" w:sz="4" w:space="0" w:color="auto"/>
              <w:right w:val="single" w:sz="4" w:space="0" w:color="000000"/>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b/>
                <w:bCs/>
                <w:kern w:val="0"/>
                <w:sz w:val="18"/>
                <w:szCs w:val="18"/>
              </w:rPr>
              <w:t>二、生态产业类</w:t>
            </w:r>
            <w:r>
              <w:rPr>
                <w:rFonts w:ascii="Times New Roman" w:hAnsi="Times New Roman" w:cs="Times New Roman"/>
                <w:b/>
                <w:bCs/>
                <w:kern w:val="0"/>
                <w:sz w:val="18"/>
                <w:szCs w:val="18"/>
              </w:rPr>
              <w:t>35</w:t>
            </w:r>
            <w:r>
              <w:rPr>
                <w:rFonts w:ascii="Times New Roman" w:hAnsi="Times New Roman" w:cs="Times New Roman"/>
                <w:b/>
                <w:bCs/>
                <w:kern w:val="0"/>
                <w:sz w:val="18"/>
                <w:szCs w:val="18"/>
              </w:rPr>
              <w:t>项</w:t>
            </w:r>
          </w:p>
        </w:tc>
      </w:tr>
      <w:tr w:rsidR="00B9739B">
        <w:trPr>
          <w:trHeight w:val="1593"/>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15</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吉林华润和善堂人参有限公司新厂建设项目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吉林华润和善堂人参有限公司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饮片食品车间、红参加工车间、办公楼、综合仓库、冷库、阳光棚及配套辅助工程。</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预计新增产值</w:t>
            </w:r>
            <w:r>
              <w:rPr>
                <w:rFonts w:ascii="Times New Roman" w:hAnsi="Times New Roman" w:cs="Times New Roman"/>
                <w:kern w:val="0"/>
                <w:sz w:val="18"/>
                <w:szCs w:val="18"/>
              </w:rPr>
              <w:t>3</w:t>
            </w:r>
            <w:r>
              <w:rPr>
                <w:rFonts w:ascii="Times New Roman" w:hAnsi="Times New Roman" w:cs="Times New Roman"/>
                <w:kern w:val="0"/>
                <w:sz w:val="18"/>
                <w:szCs w:val="18"/>
              </w:rPr>
              <w:t>亿元，新增利润</w:t>
            </w:r>
            <w:r>
              <w:rPr>
                <w:rFonts w:ascii="Times New Roman" w:hAnsi="Times New Roman" w:cs="Times New Roman"/>
                <w:kern w:val="0"/>
                <w:sz w:val="18"/>
                <w:szCs w:val="18"/>
              </w:rPr>
              <w:t>2000</w:t>
            </w:r>
            <w:r>
              <w:rPr>
                <w:rFonts w:ascii="Times New Roman" w:hAnsi="Times New Roman" w:cs="Times New Roman"/>
                <w:kern w:val="0"/>
                <w:sz w:val="18"/>
                <w:szCs w:val="18"/>
              </w:rPr>
              <w:t>万元，新增税金</w:t>
            </w:r>
            <w:r>
              <w:rPr>
                <w:rFonts w:ascii="Times New Roman" w:hAnsi="Times New Roman" w:cs="Times New Roman"/>
                <w:kern w:val="0"/>
                <w:sz w:val="18"/>
                <w:szCs w:val="18"/>
              </w:rPr>
              <w:t>700</w:t>
            </w:r>
            <w:r>
              <w:rPr>
                <w:rFonts w:ascii="Times New Roman" w:hAnsi="Times New Roman" w:cs="Times New Roman"/>
                <w:kern w:val="0"/>
                <w:sz w:val="18"/>
                <w:szCs w:val="18"/>
              </w:rPr>
              <w:t>万元。能新增就业岗位</w:t>
            </w:r>
            <w:r>
              <w:rPr>
                <w:rFonts w:ascii="Times New Roman" w:hAnsi="Times New Roman" w:cs="Times New Roman"/>
                <w:kern w:val="0"/>
                <w:sz w:val="18"/>
                <w:szCs w:val="18"/>
              </w:rPr>
              <w:t>15</w:t>
            </w:r>
            <w:r>
              <w:rPr>
                <w:rFonts w:ascii="Times New Roman" w:hAnsi="Times New Roman" w:cs="Times New Roman"/>
                <w:kern w:val="0"/>
                <w:sz w:val="18"/>
                <w:szCs w:val="18"/>
              </w:rPr>
              <w:t>人。</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25792</w:t>
            </w:r>
          </w:p>
        </w:tc>
      </w:tr>
      <w:tr w:rsidR="00B9739B">
        <w:trPr>
          <w:trHeight w:val="2218"/>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16</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抚松县松花江源渔业三产融合发展乡村振兴建设项目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白山松花江文化旅游投资集团有限公司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sz w:val="18"/>
                <w:szCs w:val="18"/>
              </w:rPr>
              <w:t>项目总用地面积</w:t>
            </w:r>
            <w:r>
              <w:rPr>
                <w:rFonts w:ascii="Times New Roman" w:hAnsi="Times New Roman" w:cs="Times New Roman"/>
                <w:sz w:val="18"/>
                <w:szCs w:val="18"/>
              </w:rPr>
              <w:t>25604.33</w:t>
            </w:r>
            <w:r>
              <w:rPr>
                <w:rFonts w:ascii="Times New Roman" w:hAnsi="Times New Roman" w:cs="Times New Roman"/>
                <w:sz w:val="18"/>
                <w:szCs w:val="18"/>
              </w:rPr>
              <w:t>㎡，总建筑面积</w:t>
            </w:r>
            <w:r>
              <w:rPr>
                <w:rFonts w:ascii="Times New Roman" w:hAnsi="Times New Roman" w:cs="Times New Roman"/>
                <w:sz w:val="18"/>
                <w:szCs w:val="18"/>
              </w:rPr>
              <w:t>11781.68</w:t>
            </w:r>
            <w:r>
              <w:rPr>
                <w:rFonts w:ascii="Times New Roman" w:hAnsi="Times New Roman" w:cs="Times New Roman"/>
                <w:sz w:val="18"/>
                <w:szCs w:val="18"/>
              </w:rPr>
              <w:t>㎡，建设</w:t>
            </w:r>
            <w:r>
              <w:rPr>
                <w:rFonts w:ascii="Times New Roman" w:hAnsi="Times New Roman" w:cs="Times New Roman"/>
                <w:sz w:val="18"/>
                <w:szCs w:val="18"/>
              </w:rPr>
              <w:t>6</w:t>
            </w:r>
            <w:r>
              <w:rPr>
                <w:rFonts w:ascii="Times New Roman" w:hAnsi="Times New Roman" w:cs="Times New Roman"/>
                <w:sz w:val="18"/>
                <w:szCs w:val="18"/>
              </w:rPr>
              <w:t>栋渔业非遗工坊、</w:t>
            </w:r>
            <w:r>
              <w:rPr>
                <w:rFonts w:ascii="Times New Roman" w:hAnsi="Times New Roman" w:cs="Times New Roman"/>
                <w:sz w:val="18"/>
                <w:szCs w:val="18"/>
              </w:rPr>
              <w:t>5</w:t>
            </w:r>
            <w:r>
              <w:rPr>
                <w:rFonts w:ascii="Times New Roman" w:hAnsi="Times New Roman" w:cs="Times New Roman"/>
                <w:sz w:val="18"/>
                <w:szCs w:val="18"/>
              </w:rPr>
              <w:t>栋渔家生活体验馆、综合服务用房、松花江鲜集贸市场、渔猎文化展示馆等。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sz w:val="18"/>
                <w:szCs w:val="18"/>
              </w:rPr>
              <w:t>该项目实施有利于促进渔业一二三产融合发展。同时有效推进抽水乡旅游业发展，打造白山湖旅游新名片，带动乡村经济协同发展，增加周边居民收入。</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2023.04-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2025.10</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8373</w:t>
            </w:r>
          </w:p>
        </w:tc>
      </w:tr>
      <w:tr w:rsidR="00B9739B">
        <w:trPr>
          <w:trHeight w:val="22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17</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吉林漫江生态文化旅游综合开发项目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吉林鲁能漫江生态旅游开发公司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总体可利用土地面积</w:t>
            </w:r>
            <w:r>
              <w:rPr>
                <w:rFonts w:ascii="Times New Roman" w:hAnsi="Times New Roman" w:cs="Times New Roman"/>
                <w:kern w:val="0"/>
                <w:sz w:val="18"/>
                <w:szCs w:val="18"/>
              </w:rPr>
              <w:t>264.67</w:t>
            </w:r>
            <w:r>
              <w:rPr>
                <w:rFonts w:ascii="Times New Roman" w:hAnsi="Times New Roman" w:cs="Times New Roman"/>
                <w:kern w:val="0"/>
                <w:sz w:val="18"/>
                <w:szCs w:val="18"/>
              </w:rPr>
              <w:t>万平方米，总体建筑面积</w:t>
            </w:r>
            <w:r>
              <w:rPr>
                <w:rFonts w:ascii="Times New Roman" w:hAnsi="Times New Roman" w:cs="Times New Roman"/>
                <w:kern w:val="0"/>
                <w:sz w:val="18"/>
                <w:szCs w:val="18"/>
              </w:rPr>
              <w:t>212</w:t>
            </w:r>
            <w:r>
              <w:rPr>
                <w:rFonts w:ascii="Times New Roman" w:hAnsi="Times New Roman" w:cs="Times New Roman"/>
                <w:kern w:val="0"/>
                <w:sz w:val="18"/>
                <w:szCs w:val="18"/>
              </w:rPr>
              <w:t>万平方米，主要建设</w:t>
            </w:r>
            <w:r>
              <w:rPr>
                <w:rFonts w:ascii="Times New Roman" w:hAnsi="Times New Roman" w:cs="Times New Roman"/>
                <w:kern w:val="0"/>
                <w:sz w:val="18"/>
                <w:szCs w:val="18"/>
              </w:rPr>
              <w:t>5</w:t>
            </w:r>
            <w:r>
              <w:rPr>
                <w:rFonts w:ascii="Times New Roman" w:hAnsi="Times New Roman" w:cs="Times New Roman"/>
                <w:kern w:val="0"/>
                <w:sz w:val="18"/>
                <w:szCs w:val="18"/>
              </w:rPr>
              <w:t>大核心引擎驱动客流，</w:t>
            </w:r>
            <w:r>
              <w:rPr>
                <w:rFonts w:ascii="Times New Roman" w:hAnsi="Times New Roman" w:cs="Times New Roman"/>
                <w:kern w:val="0"/>
                <w:sz w:val="18"/>
                <w:szCs w:val="18"/>
              </w:rPr>
              <w:t>4</w:t>
            </w:r>
            <w:r>
              <w:rPr>
                <w:rFonts w:ascii="Times New Roman" w:hAnsi="Times New Roman" w:cs="Times New Roman"/>
                <w:kern w:val="0"/>
                <w:sz w:val="18"/>
                <w:szCs w:val="18"/>
              </w:rPr>
              <w:t>大商业小镇完善配套，</w:t>
            </w:r>
            <w:r>
              <w:rPr>
                <w:rFonts w:ascii="Times New Roman" w:hAnsi="Times New Roman" w:cs="Times New Roman"/>
                <w:kern w:val="0"/>
                <w:sz w:val="18"/>
                <w:szCs w:val="18"/>
              </w:rPr>
              <w:t>7</w:t>
            </w:r>
            <w:r>
              <w:rPr>
                <w:rFonts w:ascii="Times New Roman" w:hAnsi="Times New Roman" w:cs="Times New Roman"/>
                <w:kern w:val="0"/>
                <w:sz w:val="18"/>
                <w:szCs w:val="18"/>
              </w:rPr>
              <w:t>大国际酒店撬动资本化收益，</w:t>
            </w:r>
            <w:r>
              <w:rPr>
                <w:rFonts w:ascii="Times New Roman" w:hAnsi="Times New Roman" w:cs="Times New Roman"/>
                <w:kern w:val="0"/>
                <w:sz w:val="18"/>
                <w:szCs w:val="18"/>
              </w:rPr>
              <w:t>17</w:t>
            </w:r>
            <w:r>
              <w:rPr>
                <w:rFonts w:ascii="Times New Roman" w:hAnsi="Times New Roman" w:cs="Times New Roman"/>
                <w:kern w:val="0"/>
                <w:sz w:val="18"/>
                <w:szCs w:val="18"/>
              </w:rPr>
              <w:t>项二级、</w:t>
            </w:r>
            <w:r>
              <w:rPr>
                <w:rFonts w:ascii="Times New Roman" w:hAnsi="Times New Roman" w:cs="Times New Roman"/>
                <w:kern w:val="0"/>
                <w:sz w:val="18"/>
                <w:szCs w:val="18"/>
              </w:rPr>
              <w:t>38</w:t>
            </w:r>
            <w:r>
              <w:rPr>
                <w:rFonts w:ascii="Times New Roman" w:hAnsi="Times New Roman" w:cs="Times New Roman"/>
                <w:kern w:val="0"/>
                <w:sz w:val="18"/>
                <w:szCs w:val="18"/>
              </w:rPr>
              <w:t>项三级文旅业态补充特色体验，七大主题社区、服务配套设施及其他附属工程。</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项目全部建成后，年收入可达</w:t>
            </w:r>
            <w:r>
              <w:rPr>
                <w:rFonts w:ascii="Times New Roman" w:hAnsi="Times New Roman" w:cs="Times New Roman"/>
                <w:kern w:val="0"/>
                <w:sz w:val="18"/>
                <w:szCs w:val="18"/>
              </w:rPr>
              <w:t>3</w:t>
            </w:r>
            <w:r>
              <w:rPr>
                <w:rFonts w:ascii="Times New Roman" w:hAnsi="Times New Roman" w:cs="Times New Roman"/>
                <w:kern w:val="0"/>
                <w:sz w:val="18"/>
                <w:szCs w:val="18"/>
              </w:rPr>
              <w:t>亿元，年缴税额</w:t>
            </w:r>
            <w:r>
              <w:rPr>
                <w:rFonts w:ascii="Times New Roman" w:hAnsi="Times New Roman" w:cs="Times New Roman"/>
                <w:kern w:val="0"/>
                <w:sz w:val="18"/>
                <w:szCs w:val="18"/>
              </w:rPr>
              <w:t>1000</w:t>
            </w:r>
            <w:r>
              <w:rPr>
                <w:rFonts w:ascii="Times New Roman" w:hAnsi="Times New Roman" w:cs="Times New Roman"/>
                <w:kern w:val="0"/>
                <w:sz w:val="18"/>
                <w:szCs w:val="18"/>
              </w:rPr>
              <w:t>万元，带动地方就业额</w:t>
            </w:r>
            <w:r>
              <w:rPr>
                <w:rFonts w:ascii="Times New Roman" w:hAnsi="Times New Roman" w:cs="Times New Roman"/>
                <w:kern w:val="0"/>
                <w:sz w:val="18"/>
                <w:szCs w:val="18"/>
              </w:rPr>
              <w:t>5000</w:t>
            </w:r>
            <w:r>
              <w:rPr>
                <w:rFonts w:ascii="Times New Roman" w:hAnsi="Times New Roman" w:cs="Times New Roman"/>
                <w:kern w:val="0"/>
                <w:sz w:val="18"/>
                <w:szCs w:val="18"/>
              </w:rPr>
              <w:t>人。</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2017.4-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2035.12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2481400</w:t>
            </w:r>
          </w:p>
        </w:tc>
      </w:tr>
      <w:tr w:rsidR="00B9739B">
        <w:trPr>
          <w:trHeight w:val="1332"/>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18</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松江河高铁新城旅游接待区（一期）建设项目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天池圣景房地产开发有限公司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项目总占地面积</w:t>
            </w:r>
            <w:r>
              <w:rPr>
                <w:rFonts w:ascii="Times New Roman" w:hAnsi="Times New Roman" w:cs="Times New Roman"/>
                <w:kern w:val="0"/>
                <w:sz w:val="18"/>
                <w:szCs w:val="18"/>
              </w:rPr>
              <w:t>4.9</w:t>
            </w:r>
            <w:r>
              <w:rPr>
                <w:rFonts w:ascii="Times New Roman" w:hAnsi="Times New Roman" w:cs="Times New Roman"/>
                <w:kern w:val="0"/>
                <w:sz w:val="18"/>
                <w:szCs w:val="18"/>
              </w:rPr>
              <w:t>万平方米，总建筑面积</w:t>
            </w:r>
            <w:r>
              <w:rPr>
                <w:rFonts w:ascii="Times New Roman" w:hAnsi="Times New Roman" w:cs="Times New Roman"/>
                <w:kern w:val="0"/>
                <w:sz w:val="18"/>
                <w:szCs w:val="18"/>
              </w:rPr>
              <w:t>5.9</w:t>
            </w:r>
            <w:r>
              <w:rPr>
                <w:rFonts w:ascii="Times New Roman" w:hAnsi="Times New Roman" w:cs="Times New Roman"/>
                <w:kern w:val="0"/>
                <w:sz w:val="18"/>
                <w:szCs w:val="18"/>
              </w:rPr>
              <w:t>万平方米。建设内容包括：酒店、剧场、创意小铺、创意市集、艺术沙龙、休闲餐饮等建筑，以及地下车库、场区内公用工程设施、绿化等。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发挥特色旅游资源优势，为</w:t>
            </w:r>
            <w:r>
              <w:rPr>
                <w:rFonts w:ascii="Times New Roman" w:hAnsi="Times New Roman" w:cs="Times New Roman"/>
                <w:kern w:val="0"/>
                <w:sz w:val="18"/>
                <w:szCs w:val="18"/>
              </w:rPr>
              <w:t>2025</w:t>
            </w:r>
            <w:r>
              <w:rPr>
                <w:rFonts w:ascii="Times New Roman" w:hAnsi="Times New Roman" w:cs="Times New Roman"/>
                <w:kern w:val="0"/>
                <w:sz w:val="18"/>
                <w:szCs w:val="18"/>
              </w:rPr>
              <w:t>年高铁时代的到来做好前期要素保障。谋划建成和培育集接待、餐饮、购物、休闲等旅游接待功能为一体的综合商贸中心，以满足游客的多元化需求。</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65146</w:t>
            </w:r>
          </w:p>
        </w:tc>
      </w:tr>
      <w:tr w:rsidR="00B9739B">
        <w:trPr>
          <w:trHeight w:val="1462"/>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19</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w:t>
            </w:r>
            <w:r>
              <w:rPr>
                <w:rFonts w:ascii="Times New Roman" w:hAnsi="Times New Roman" w:cs="Times New Roman"/>
                <w:kern w:val="0"/>
                <w:sz w:val="18"/>
                <w:szCs w:val="18"/>
              </w:rPr>
              <w:t>3A</w:t>
            </w:r>
            <w:r>
              <w:rPr>
                <w:rFonts w:ascii="Times New Roman" w:hAnsi="Times New Roman" w:cs="Times New Roman"/>
                <w:kern w:val="0"/>
                <w:sz w:val="18"/>
                <w:szCs w:val="18"/>
              </w:rPr>
              <w:t>级景区人参博览园及配套设施建设项目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抚松长白山旅游建设开发有限公司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项目拟定为利用原</w:t>
            </w:r>
            <w:r>
              <w:rPr>
                <w:rFonts w:ascii="Times New Roman" w:hAnsi="Times New Roman" w:cs="Times New Roman"/>
                <w:kern w:val="0"/>
                <w:sz w:val="18"/>
                <w:szCs w:val="18"/>
              </w:rPr>
              <w:t>55204</w:t>
            </w:r>
            <w:r>
              <w:rPr>
                <w:rFonts w:ascii="Times New Roman" w:hAnsi="Times New Roman" w:cs="Times New Roman"/>
                <w:kern w:val="0"/>
                <w:sz w:val="18"/>
                <w:szCs w:val="18"/>
              </w:rPr>
              <w:t>平方米万达广场改造建设人参博物馆及园区配套设施；新建</w:t>
            </w:r>
            <w:r>
              <w:rPr>
                <w:rFonts w:ascii="Times New Roman" w:hAnsi="Times New Roman" w:cs="Times New Roman"/>
                <w:kern w:val="0"/>
                <w:sz w:val="18"/>
                <w:szCs w:val="18"/>
              </w:rPr>
              <w:t>3A</w:t>
            </w:r>
            <w:r>
              <w:rPr>
                <w:rFonts w:ascii="Times New Roman" w:hAnsi="Times New Roman" w:cs="Times New Roman"/>
                <w:kern w:val="0"/>
                <w:sz w:val="18"/>
                <w:szCs w:val="18"/>
              </w:rPr>
              <w:t>级人参博览园</w:t>
            </w:r>
            <w:r>
              <w:rPr>
                <w:rFonts w:ascii="Times New Roman" w:hAnsi="Times New Roman" w:cs="Times New Roman"/>
                <w:kern w:val="0"/>
                <w:sz w:val="18"/>
                <w:szCs w:val="18"/>
              </w:rPr>
              <w:t>6.0544</w:t>
            </w:r>
            <w:r>
              <w:rPr>
                <w:rFonts w:ascii="Times New Roman" w:hAnsi="Times New Roman" w:cs="Times New Roman"/>
                <w:kern w:val="0"/>
                <w:sz w:val="18"/>
                <w:szCs w:val="18"/>
              </w:rPr>
              <w:t>公顷，</w:t>
            </w:r>
            <w:r>
              <w:rPr>
                <w:rFonts w:ascii="Times New Roman" w:hAnsi="Times New Roman" w:cs="Times New Roman"/>
                <w:kern w:val="0"/>
                <w:sz w:val="18"/>
                <w:szCs w:val="18"/>
              </w:rPr>
              <w:t>3</w:t>
            </w:r>
            <w:r>
              <w:rPr>
                <w:rFonts w:ascii="Times New Roman" w:hAnsi="Times New Roman" w:cs="Times New Roman"/>
                <w:kern w:val="0"/>
                <w:sz w:val="18"/>
                <w:szCs w:val="18"/>
              </w:rPr>
              <w:t>条外联路改造等工程。</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打造世界级人参博物馆及主题公园，提高抚松县人参知名度，打造中国人参城标志性旅游观光体验目的地。</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2023.8-</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39884</w:t>
            </w:r>
          </w:p>
        </w:tc>
      </w:tr>
      <w:tr w:rsidR="00B9739B">
        <w:trPr>
          <w:trHeight w:val="1616"/>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东岗镇大碱场村民宿及旅游基础设施建设工程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东岗镇</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政府</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计划建设旅游厕所</w:t>
            </w:r>
            <w:r>
              <w:rPr>
                <w:rFonts w:ascii="Times New Roman" w:hAnsi="Times New Roman" w:cs="Times New Roman"/>
                <w:kern w:val="0"/>
                <w:sz w:val="18"/>
                <w:szCs w:val="18"/>
              </w:rPr>
              <w:t>1</w:t>
            </w:r>
            <w:r>
              <w:rPr>
                <w:rFonts w:ascii="Times New Roman" w:hAnsi="Times New Roman" w:cs="Times New Roman"/>
                <w:kern w:val="0"/>
                <w:sz w:val="18"/>
                <w:szCs w:val="18"/>
              </w:rPr>
              <w:t>座，雨污分离管线</w:t>
            </w:r>
            <w:r>
              <w:rPr>
                <w:rFonts w:ascii="Times New Roman" w:hAnsi="Times New Roman" w:cs="Times New Roman"/>
                <w:kern w:val="0"/>
                <w:sz w:val="18"/>
                <w:szCs w:val="18"/>
              </w:rPr>
              <w:t>900</w:t>
            </w:r>
            <w:r>
              <w:rPr>
                <w:rFonts w:ascii="Times New Roman" w:hAnsi="Times New Roman" w:cs="Times New Roman"/>
                <w:kern w:val="0"/>
                <w:sz w:val="18"/>
                <w:szCs w:val="18"/>
              </w:rPr>
              <w:t>米，小型污水处理站</w:t>
            </w:r>
            <w:r>
              <w:rPr>
                <w:rFonts w:ascii="Times New Roman" w:hAnsi="Times New Roman" w:cs="Times New Roman"/>
                <w:kern w:val="0"/>
                <w:sz w:val="18"/>
                <w:szCs w:val="18"/>
              </w:rPr>
              <w:t>1</w:t>
            </w:r>
            <w:r>
              <w:rPr>
                <w:rFonts w:ascii="Times New Roman" w:hAnsi="Times New Roman" w:cs="Times New Roman"/>
                <w:kern w:val="0"/>
                <w:sz w:val="18"/>
                <w:szCs w:val="18"/>
              </w:rPr>
              <w:t>个，污水池</w:t>
            </w:r>
            <w:r>
              <w:rPr>
                <w:rFonts w:ascii="Times New Roman" w:hAnsi="Times New Roman" w:cs="Times New Roman"/>
                <w:kern w:val="0"/>
                <w:sz w:val="18"/>
                <w:szCs w:val="18"/>
              </w:rPr>
              <w:t>1200</w:t>
            </w:r>
            <w:r>
              <w:rPr>
                <w:rFonts w:ascii="Times New Roman" w:hAnsi="Times New Roman" w:cs="Times New Roman"/>
                <w:kern w:val="0"/>
                <w:sz w:val="18"/>
                <w:szCs w:val="18"/>
              </w:rPr>
              <w:t>平方米，污水管线</w:t>
            </w:r>
            <w:r>
              <w:rPr>
                <w:rFonts w:ascii="Times New Roman" w:hAnsi="Times New Roman" w:cs="Times New Roman"/>
                <w:kern w:val="0"/>
                <w:sz w:val="18"/>
                <w:szCs w:val="18"/>
              </w:rPr>
              <w:t>300</w:t>
            </w:r>
            <w:r>
              <w:rPr>
                <w:rFonts w:ascii="Times New Roman" w:hAnsi="Times New Roman" w:cs="Times New Roman"/>
                <w:kern w:val="0"/>
                <w:sz w:val="18"/>
                <w:szCs w:val="18"/>
              </w:rPr>
              <w:t>米，化粪池</w:t>
            </w:r>
            <w:r>
              <w:rPr>
                <w:rFonts w:ascii="Times New Roman" w:hAnsi="Times New Roman" w:cs="Times New Roman"/>
                <w:kern w:val="0"/>
                <w:sz w:val="18"/>
                <w:szCs w:val="18"/>
              </w:rPr>
              <w:t>2</w:t>
            </w:r>
            <w:r>
              <w:rPr>
                <w:rFonts w:ascii="Times New Roman" w:hAnsi="Times New Roman" w:cs="Times New Roman"/>
                <w:kern w:val="0"/>
                <w:sz w:val="18"/>
                <w:szCs w:val="18"/>
              </w:rPr>
              <w:t>个，停车场约</w:t>
            </w:r>
            <w:r>
              <w:rPr>
                <w:rFonts w:ascii="Times New Roman" w:hAnsi="Times New Roman" w:cs="Times New Roman"/>
                <w:kern w:val="0"/>
                <w:sz w:val="18"/>
                <w:szCs w:val="18"/>
              </w:rPr>
              <w:t>1500</w:t>
            </w:r>
            <w:r>
              <w:rPr>
                <w:rFonts w:ascii="Times New Roman" w:hAnsi="Times New Roman" w:cs="Times New Roman"/>
                <w:kern w:val="0"/>
                <w:sz w:val="18"/>
                <w:szCs w:val="18"/>
              </w:rPr>
              <w:t>米；建设民宿一个。</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项目建成后能带动村集体经济</w:t>
            </w:r>
            <w:r>
              <w:rPr>
                <w:rFonts w:ascii="Times New Roman" w:hAnsi="Times New Roman" w:cs="Times New Roman"/>
                <w:kern w:val="0"/>
                <w:sz w:val="18"/>
                <w:szCs w:val="18"/>
              </w:rPr>
              <w:t>18</w:t>
            </w:r>
            <w:r>
              <w:rPr>
                <w:rFonts w:ascii="Times New Roman" w:hAnsi="Times New Roman" w:cs="Times New Roman"/>
                <w:kern w:val="0"/>
                <w:sz w:val="18"/>
                <w:szCs w:val="18"/>
              </w:rPr>
              <w:t>万元</w:t>
            </w:r>
            <w:r>
              <w:rPr>
                <w:rFonts w:ascii="Times New Roman" w:hAnsi="Times New Roman" w:cs="Times New Roman"/>
                <w:kern w:val="0"/>
                <w:sz w:val="18"/>
                <w:szCs w:val="18"/>
              </w:rPr>
              <w:t>/</w:t>
            </w:r>
            <w:r>
              <w:rPr>
                <w:rFonts w:ascii="Times New Roman" w:hAnsi="Times New Roman" w:cs="Times New Roman"/>
                <w:kern w:val="0"/>
                <w:sz w:val="18"/>
                <w:szCs w:val="18"/>
              </w:rPr>
              <w:t>年，能够为百家村民发展民宿提供基础设施保障，改善村容村貌，提高生活水平和质量。</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1300</w:t>
            </w:r>
          </w:p>
        </w:tc>
      </w:tr>
      <w:tr w:rsidR="00B9739B">
        <w:trPr>
          <w:trHeight w:val="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21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抚松县漫江镇旅游扶贫项目（</w:t>
            </w:r>
            <w:r>
              <w:rPr>
                <w:rFonts w:ascii="Times New Roman" w:hAnsi="Times New Roman" w:cs="Times New Roman"/>
                <w:kern w:val="0"/>
                <w:sz w:val="18"/>
                <w:szCs w:val="18"/>
              </w:rPr>
              <w:t>PPP</w:t>
            </w:r>
            <w:r>
              <w:rPr>
                <w:rFonts w:ascii="Times New Roman" w:hAnsi="Times New Roman" w:cs="Times New Roman"/>
                <w:kern w:val="0"/>
                <w:sz w:val="18"/>
                <w:szCs w:val="18"/>
              </w:rPr>
              <w:t>）</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吉林吉旅锦江旅游投资有限责任公司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项目总占地面积为</w:t>
            </w:r>
            <w:r>
              <w:rPr>
                <w:rFonts w:ascii="Times New Roman" w:hAnsi="Times New Roman" w:cs="Times New Roman"/>
                <w:kern w:val="0"/>
                <w:sz w:val="18"/>
                <w:szCs w:val="18"/>
              </w:rPr>
              <w:t>119087</w:t>
            </w:r>
            <w:r>
              <w:rPr>
                <w:rFonts w:ascii="Times New Roman" w:hAnsi="Times New Roman" w:cs="Times New Roman"/>
                <w:kern w:val="0"/>
                <w:sz w:val="18"/>
                <w:szCs w:val="18"/>
              </w:rPr>
              <w:t>平方米，总建筑面积为</w:t>
            </w:r>
            <w:r>
              <w:rPr>
                <w:rFonts w:ascii="Times New Roman" w:hAnsi="Times New Roman" w:cs="Times New Roman"/>
                <w:kern w:val="0"/>
                <w:sz w:val="18"/>
                <w:szCs w:val="18"/>
              </w:rPr>
              <w:t>64929</w:t>
            </w:r>
            <w:r>
              <w:rPr>
                <w:rFonts w:ascii="Times New Roman" w:hAnsi="Times New Roman" w:cs="Times New Roman"/>
                <w:kern w:val="0"/>
                <w:sz w:val="18"/>
                <w:szCs w:val="18"/>
              </w:rPr>
              <w:t>平方米，地下建筑面积为</w:t>
            </w:r>
            <w:r>
              <w:rPr>
                <w:rFonts w:ascii="Times New Roman" w:hAnsi="Times New Roman" w:cs="Times New Roman"/>
                <w:kern w:val="0"/>
                <w:sz w:val="18"/>
                <w:szCs w:val="18"/>
              </w:rPr>
              <w:t>5000</w:t>
            </w:r>
            <w:r>
              <w:rPr>
                <w:rFonts w:ascii="Times New Roman" w:hAnsi="Times New Roman" w:cs="Times New Roman"/>
                <w:kern w:val="0"/>
                <w:sz w:val="18"/>
                <w:szCs w:val="18"/>
              </w:rPr>
              <w:t>平方米，地上建筑面积为</w:t>
            </w:r>
            <w:r>
              <w:rPr>
                <w:rFonts w:ascii="Times New Roman" w:hAnsi="Times New Roman" w:cs="Times New Roman"/>
                <w:kern w:val="0"/>
                <w:sz w:val="18"/>
                <w:szCs w:val="18"/>
              </w:rPr>
              <w:t>59929</w:t>
            </w:r>
            <w:r>
              <w:rPr>
                <w:rFonts w:ascii="Times New Roman" w:hAnsi="Times New Roman" w:cs="Times New Roman"/>
                <w:kern w:val="0"/>
                <w:sz w:val="18"/>
                <w:szCs w:val="18"/>
              </w:rPr>
              <w:t>平方米。精准扶贫回迁民居、长白山全域旅游服务中心、扶贫商贸中心、民俗风情街、宾馆酒店以及配套的水系景观工程、停车场及停车库工程、道路工程、给排水工程、供热工程、供电工程、通信工程、环卫工程、绿化及广场工程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提供就业岗位</w:t>
            </w:r>
            <w:r>
              <w:rPr>
                <w:rFonts w:ascii="Times New Roman" w:hAnsi="Times New Roman" w:cs="Times New Roman"/>
                <w:kern w:val="0"/>
                <w:sz w:val="18"/>
                <w:szCs w:val="18"/>
              </w:rPr>
              <w:t>1000</w:t>
            </w:r>
            <w:r>
              <w:rPr>
                <w:rFonts w:ascii="Times New Roman" w:hAnsi="Times New Roman" w:cs="Times New Roman"/>
                <w:kern w:val="0"/>
                <w:sz w:val="18"/>
                <w:szCs w:val="18"/>
              </w:rPr>
              <w:t>个，年均上缴税收约为</w:t>
            </w:r>
            <w:r>
              <w:rPr>
                <w:rFonts w:ascii="Times New Roman" w:hAnsi="Times New Roman" w:cs="Times New Roman"/>
                <w:kern w:val="0"/>
                <w:sz w:val="18"/>
                <w:szCs w:val="18"/>
              </w:rPr>
              <w:t>234.99</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50000</w:t>
            </w:r>
          </w:p>
        </w:tc>
      </w:tr>
      <w:tr w:rsidR="00B9739B">
        <w:trPr>
          <w:trHeight w:val="13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吉林抚松工业园区食药纳米产业园区标准化厂房及配套基础设施建设工程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吉林省参城投资有限公司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项目总用地面积</w:t>
            </w:r>
            <w:r>
              <w:rPr>
                <w:rFonts w:ascii="Times New Roman" w:hAnsi="Times New Roman" w:cs="Times New Roman"/>
                <w:kern w:val="0"/>
                <w:sz w:val="18"/>
                <w:szCs w:val="18"/>
              </w:rPr>
              <w:t>340734</w:t>
            </w:r>
            <w:r>
              <w:rPr>
                <w:rFonts w:ascii="Times New Roman" w:hAnsi="Times New Roman" w:cs="Times New Roman"/>
                <w:kern w:val="0"/>
                <w:sz w:val="18"/>
                <w:szCs w:val="18"/>
              </w:rPr>
              <w:t>平方米，总建筑面积</w:t>
            </w:r>
            <w:r>
              <w:rPr>
                <w:rFonts w:ascii="Times New Roman" w:hAnsi="Times New Roman" w:cs="Times New Roman"/>
                <w:kern w:val="0"/>
                <w:sz w:val="18"/>
                <w:szCs w:val="18"/>
              </w:rPr>
              <w:t>329448.70</w:t>
            </w:r>
            <w:r>
              <w:rPr>
                <w:rFonts w:ascii="Times New Roman" w:hAnsi="Times New Roman" w:cs="Times New Roman"/>
                <w:kern w:val="0"/>
                <w:sz w:val="18"/>
                <w:szCs w:val="18"/>
              </w:rPr>
              <w:t>平方米。建设内容包括产业园区内标准化厂房建设及其他基础配套设施建设工程和产业园区对外连通的基础设施建设两部分。</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产业园企业的进驻将吸引农村劳动力向城市转移，一部分农村人口将从事第二、三产业的生产与经营，从而提高和加快城镇化水平及进程，强力推进抚松县区域经济的发展。通过产业链条的拉长、地方税收的增加、土地的增值、创造就业机会等，有效拉动抚松县经济的增长。</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89992.51</w:t>
            </w:r>
          </w:p>
        </w:tc>
      </w:tr>
      <w:tr w:rsidR="00B9739B">
        <w:trPr>
          <w:trHeight w:val="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抚松共生生物科技有限公司纳米食药产业园建设项目（一</w:t>
            </w:r>
            <w:r>
              <w:rPr>
                <w:rFonts w:ascii="Times New Roman" w:hAnsi="Times New Roman" w:cs="Times New Roman"/>
                <w:kern w:val="0"/>
                <w:sz w:val="18"/>
                <w:szCs w:val="18"/>
              </w:rPr>
              <w:lastRenderedPageBreak/>
              <w:t>期）</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抚松共生生物科技有限公司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项目总用地面积</w:t>
            </w:r>
            <w:r>
              <w:rPr>
                <w:rFonts w:ascii="Times New Roman" w:hAnsi="Times New Roman" w:cs="Times New Roman"/>
                <w:kern w:val="0"/>
                <w:sz w:val="18"/>
                <w:szCs w:val="18"/>
              </w:rPr>
              <w:t>18251.76</w:t>
            </w:r>
            <w:r>
              <w:rPr>
                <w:rFonts w:ascii="Times New Roman" w:hAnsi="Times New Roman" w:cs="Times New Roman"/>
                <w:kern w:val="0"/>
                <w:sz w:val="18"/>
                <w:szCs w:val="18"/>
              </w:rPr>
              <w:t>平方米，规划总建筑面积</w:t>
            </w:r>
            <w:r>
              <w:rPr>
                <w:rFonts w:ascii="Times New Roman" w:hAnsi="Times New Roman" w:cs="Times New Roman"/>
                <w:kern w:val="0"/>
                <w:sz w:val="18"/>
                <w:szCs w:val="18"/>
              </w:rPr>
              <w:t>20283.27</w:t>
            </w:r>
            <w:r>
              <w:rPr>
                <w:rFonts w:ascii="Times New Roman" w:hAnsi="Times New Roman" w:cs="Times New Roman"/>
                <w:kern w:val="0"/>
                <w:sz w:val="18"/>
                <w:szCs w:val="18"/>
              </w:rPr>
              <w:t>平方米（总计容面积</w:t>
            </w:r>
            <w:r>
              <w:rPr>
                <w:rFonts w:ascii="Times New Roman" w:hAnsi="Times New Roman" w:cs="Times New Roman"/>
                <w:kern w:val="0"/>
                <w:sz w:val="18"/>
                <w:szCs w:val="18"/>
              </w:rPr>
              <w:t>23940.45</w:t>
            </w:r>
            <w:r>
              <w:rPr>
                <w:rFonts w:ascii="Times New Roman" w:hAnsi="Times New Roman" w:cs="Times New Roman"/>
                <w:kern w:val="0"/>
                <w:sz w:val="18"/>
                <w:szCs w:val="18"/>
              </w:rPr>
              <w:t>平方米）。完善园区道路、绿化、供电、</w:t>
            </w:r>
            <w:r>
              <w:rPr>
                <w:rFonts w:ascii="Times New Roman" w:hAnsi="Times New Roman" w:cs="Times New Roman"/>
                <w:kern w:val="0"/>
                <w:sz w:val="18"/>
                <w:szCs w:val="18"/>
              </w:rPr>
              <w:t xml:space="preserve"> </w:t>
            </w:r>
            <w:r>
              <w:rPr>
                <w:rFonts w:ascii="Times New Roman" w:hAnsi="Times New Roman" w:cs="Times New Roman"/>
                <w:kern w:val="0"/>
                <w:sz w:val="18"/>
                <w:szCs w:val="18"/>
              </w:rPr>
              <w:t>供热、供水、排水、消防等基础配套设施。</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打造一个在纳米技术领域全面共享的技术性平台，使纳米技术迅速在医药、保健品、化工、食品、材料、环保、能源、军工及航空航天等诸多领域得到应用，实现公司跨越式发展，</w:t>
            </w:r>
            <w:r>
              <w:rPr>
                <w:rFonts w:ascii="Times New Roman" w:hAnsi="Times New Roman" w:cs="Times New Roman"/>
                <w:kern w:val="0"/>
                <w:sz w:val="18"/>
                <w:szCs w:val="18"/>
              </w:rPr>
              <w:lastRenderedPageBreak/>
              <w:t>同时推动白山地区优质长白山资源的升级发展。项目投产期</w:t>
            </w:r>
            <w:r>
              <w:rPr>
                <w:rFonts w:ascii="Times New Roman" w:hAnsi="Times New Roman" w:cs="Times New Roman"/>
                <w:kern w:val="0"/>
                <w:sz w:val="18"/>
                <w:szCs w:val="18"/>
              </w:rPr>
              <w:t>1</w:t>
            </w:r>
            <w:r>
              <w:rPr>
                <w:rFonts w:ascii="Times New Roman" w:hAnsi="Times New Roman" w:cs="Times New Roman"/>
                <w:kern w:val="0"/>
                <w:sz w:val="18"/>
                <w:szCs w:val="18"/>
              </w:rPr>
              <w:t>年，投产期生产负荷</w:t>
            </w:r>
            <w:r>
              <w:rPr>
                <w:rFonts w:ascii="Times New Roman" w:hAnsi="Times New Roman" w:cs="Times New Roman"/>
                <w:kern w:val="0"/>
                <w:sz w:val="18"/>
                <w:szCs w:val="18"/>
              </w:rPr>
              <w:t>70%</w:t>
            </w:r>
            <w:r>
              <w:rPr>
                <w:rFonts w:ascii="Times New Roman" w:hAnsi="Times New Roman" w:cs="Times New Roman"/>
                <w:kern w:val="0"/>
                <w:sz w:val="18"/>
                <w:szCs w:val="18"/>
              </w:rPr>
              <w:t>，产品售价按出厂价含税价计算，年平均销售收入为</w:t>
            </w:r>
            <w:r>
              <w:rPr>
                <w:rFonts w:ascii="Times New Roman" w:hAnsi="Times New Roman" w:cs="Times New Roman"/>
                <w:kern w:val="0"/>
                <w:sz w:val="18"/>
                <w:szCs w:val="18"/>
              </w:rPr>
              <w:t>2037.00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2023.3</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9024</w:t>
            </w:r>
          </w:p>
        </w:tc>
      </w:tr>
      <w:tr w:rsidR="00B9739B">
        <w:trPr>
          <w:trHeight w:val="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24</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中草集人参蜜片生产线和林下参种植基地建设项目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中草集</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建设红参片、人参饮品、人参蜜片、人参提取物、灵芝提取物为一体的</w:t>
            </w:r>
            <w:r>
              <w:rPr>
                <w:rFonts w:ascii="Times New Roman" w:hAnsi="Times New Roman" w:cs="Times New Roman"/>
                <w:kern w:val="0"/>
                <w:sz w:val="18"/>
                <w:szCs w:val="18"/>
              </w:rPr>
              <w:t>sc</w:t>
            </w:r>
            <w:r>
              <w:rPr>
                <w:rFonts w:ascii="Times New Roman" w:hAnsi="Times New Roman" w:cs="Times New Roman"/>
                <w:kern w:val="0"/>
                <w:sz w:val="18"/>
                <w:szCs w:val="18"/>
              </w:rPr>
              <w:t>生产车间，以及种植基地相关配套设施。</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进一步提高公司产能，扩大产品种类，提高品牌竞争力。</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2023.10</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3000</w:t>
            </w:r>
          </w:p>
        </w:tc>
      </w:tr>
      <w:tr w:rsidR="00B9739B">
        <w:trPr>
          <w:trHeight w:val="2192"/>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25</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抚松县安东参业全株人参深加工及人参素食品精加工项目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抚松县安东参业有限公司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项目占地面积</w:t>
            </w:r>
            <w:r>
              <w:rPr>
                <w:rFonts w:ascii="Times New Roman" w:hAnsi="Times New Roman" w:cs="Times New Roman"/>
                <w:kern w:val="0"/>
                <w:sz w:val="18"/>
                <w:szCs w:val="18"/>
              </w:rPr>
              <w:t>13600</w:t>
            </w:r>
            <w:r>
              <w:rPr>
                <w:rFonts w:ascii="Times New Roman" w:hAnsi="Times New Roman" w:cs="Times New Roman"/>
                <w:kern w:val="0"/>
                <w:sz w:val="18"/>
                <w:szCs w:val="18"/>
              </w:rPr>
              <w:t>平方米，建筑面积</w:t>
            </w:r>
            <w:r>
              <w:rPr>
                <w:rFonts w:ascii="Times New Roman" w:hAnsi="Times New Roman" w:cs="Times New Roman"/>
                <w:kern w:val="0"/>
                <w:sz w:val="18"/>
                <w:szCs w:val="18"/>
              </w:rPr>
              <w:t>15300</w:t>
            </w:r>
            <w:r>
              <w:rPr>
                <w:rFonts w:ascii="Times New Roman" w:hAnsi="Times New Roman" w:cs="Times New Roman"/>
                <w:kern w:val="0"/>
                <w:sz w:val="18"/>
                <w:szCs w:val="18"/>
              </w:rPr>
              <w:t>平方米，主要进行提取车间、</w:t>
            </w:r>
            <w:r>
              <w:rPr>
                <w:rFonts w:ascii="Times New Roman" w:hAnsi="Times New Roman" w:cs="Times New Roman"/>
                <w:kern w:val="0"/>
                <w:sz w:val="18"/>
                <w:szCs w:val="18"/>
              </w:rPr>
              <w:t>GM</w:t>
            </w:r>
            <w:r>
              <w:rPr>
                <w:rFonts w:ascii="Times New Roman" w:hAnsi="Times New Roman" w:cs="Times New Roman"/>
                <w:kern w:val="0"/>
                <w:sz w:val="18"/>
                <w:szCs w:val="18"/>
              </w:rPr>
              <w:t>车间、</w:t>
            </w:r>
            <w:r>
              <w:rPr>
                <w:rFonts w:ascii="Times New Roman" w:hAnsi="Times New Roman" w:cs="Times New Roman"/>
                <w:kern w:val="0"/>
                <w:sz w:val="18"/>
                <w:szCs w:val="18"/>
              </w:rPr>
              <w:t>SC</w:t>
            </w:r>
            <w:r>
              <w:rPr>
                <w:rFonts w:ascii="Times New Roman" w:hAnsi="Times New Roman" w:cs="Times New Roman"/>
                <w:kern w:val="0"/>
                <w:sz w:val="18"/>
                <w:szCs w:val="18"/>
              </w:rPr>
              <w:t>生产车间、仓储用房等配套设施建设、并对原有生产车间和仓库的</w:t>
            </w:r>
            <w:r>
              <w:rPr>
                <w:rFonts w:ascii="Times New Roman" w:hAnsi="Times New Roman" w:cs="Times New Roman"/>
                <w:kern w:val="0"/>
                <w:sz w:val="18"/>
                <w:szCs w:val="18"/>
              </w:rPr>
              <w:t>5300</w:t>
            </w:r>
            <w:r>
              <w:rPr>
                <w:rFonts w:ascii="Times New Roman" w:hAnsi="Times New Roman" w:cs="Times New Roman"/>
                <w:kern w:val="0"/>
                <w:sz w:val="18"/>
                <w:szCs w:val="18"/>
              </w:rPr>
              <w:t>平方米进行改造和完善并购置设备</w:t>
            </w:r>
            <w:r>
              <w:rPr>
                <w:rFonts w:ascii="Times New Roman" w:hAnsi="Times New Roman" w:cs="Times New Roman"/>
                <w:kern w:val="0"/>
                <w:sz w:val="18"/>
                <w:szCs w:val="18"/>
              </w:rPr>
              <w:t>301</w:t>
            </w:r>
            <w:r>
              <w:rPr>
                <w:rFonts w:ascii="Times New Roman" w:hAnsi="Times New Roman" w:cs="Times New Roman"/>
                <w:kern w:val="0"/>
                <w:sz w:val="18"/>
                <w:szCs w:val="18"/>
              </w:rPr>
              <w:t>台。</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本项目的实施贯彻了吉林省人参、食药同源发展方针，项目完成必将对我县市区人参产业起到了明显的示范和带头作用，对促进人参产业机构化调整，转变经济增长方式起到了积极的作用。</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11659</w:t>
            </w:r>
          </w:p>
        </w:tc>
      </w:tr>
      <w:tr w:rsidR="00B9739B">
        <w:trPr>
          <w:trHeight w:val="176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吉林省松江泉水科技开发有限公司年产</w:t>
            </w:r>
            <w:r>
              <w:rPr>
                <w:rFonts w:ascii="Times New Roman" w:hAnsi="Times New Roman" w:cs="Times New Roman"/>
                <w:kern w:val="0"/>
                <w:sz w:val="18"/>
                <w:szCs w:val="18"/>
              </w:rPr>
              <w:t>10</w:t>
            </w:r>
            <w:r>
              <w:rPr>
                <w:rFonts w:ascii="Times New Roman" w:hAnsi="Times New Roman" w:cs="Times New Roman"/>
                <w:kern w:val="0"/>
                <w:sz w:val="18"/>
                <w:szCs w:val="18"/>
              </w:rPr>
              <w:t>万吨山泉水项目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吉林省松江泉水科技开发有限公司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该项目建设地点位于白山市抚松县黄家崴子村，新建水厂占地</w:t>
            </w:r>
            <w:r>
              <w:rPr>
                <w:rFonts w:ascii="Times New Roman" w:hAnsi="Times New Roman" w:cs="Times New Roman"/>
                <w:kern w:val="0"/>
                <w:sz w:val="18"/>
                <w:szCs w:val="18"/>
              </w:rPr>
              <w:t>40084</w:t>
            </w:r>
            <w:r>
              <w:rPr>
                <w:rFonts w:ascii="Times New Roman" w:hAnsi="Times New Roman" w:cs="Times New Roman"/>
                <w:kern w:val="0"/>
                <w:sz w:val="18"/>
                <w:szCs w:val="18"/>
              </w:rPr>
              <w:t>平方米，建筑面积</w:t>
            </w:r>
            <w:r>
              <w:rPr>
                <w:rFonts w:ascii="Times New Roman" w:hAnsi="Times New Roman" w:cs="Times New Roman"/>
                <w:kern w:val="0"/>
                <w:sz w:val="18"/>
                <w:szCs w:val="18"/>
              </w:rPr>
              <w:t>18245.18</w:t>
            </w:r>
            <w:r>
              <w:rPr>
                <w:rFonts w:ascii="Times New Roman" w:hAnsi="Times New Roman" w:cs="Times New Roman"/>
                <w:kern w:val="0"/>
                <w:sz w:val="18"/>
                <w:szCs w:val="18"/>
              </w:rPr>
              <w:t>平方米，拟新建两条山泉水生产线及配套设施。</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项目建成后，可带来税收</w:t>
            </w:r>
            <w:r>
              <w:rPr>
                <w:rFonts w:ascii="Times New Roman" w:hAnsi="Times New Roman" w:cs="Times New Roman"/>
                <w:kern w:val="0"/>
                <w:sz w:val="18"/>
                <w:szCs w:val="18"/>
              </w:rPr>
              <w:t>600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2025.6</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15000</w:t>
            </w:r>
          </w:p>
        </w:tc>
      </w:tr>
      <w:tr w:rsidR="00B9739B">
        <w:trPr>
          <w:trHeight w:val="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27</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吉林省长白山饮品有限公司年产</w:t>
            </w:r>
            <w:r>
              <w:rPr>
                <w:rFonts w:ascii="Times New Roman" w:hAnsi="Times New Roman" w:cs="Times New Roman"/>
                <w:kern w:val="0"/>
                <w:sz w:val="18"/>
                <w:szCs w:val="18"/>
              </w:rPr>
              <w:t>70</w:t>
            </w:r>
            <w:r>
              <w:rPr>
                <w:rFonts w:ascii="Times New Roman" w:hAnsi="Times New Roman" w:cs="Times New Roman"/>
                <w:kern w:val="0"/>
                <w:sz w:val="18"/>
                <w:szCs w:val="18"/>
              </w:rPr>
              <w:t>万吨饮品建设项目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修正集团</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项目占地面积约</w:t>
            </w:r>
            <w:r>
              <w:rPr>
                <w:rFonts w:ascii="Times New Roman" w:hAnsi="Times New Roman" w:cs="Times New Roman"/>
                <w:kern w:val="0"/>
                <w:sz w:val="18"/>
                <w:szCs w:val="18"/>
              </w:rPr>
              <w:t>87260</w:t>
            </w:r>
            <w:r>
              <w:rPr>
                <w:rFonts w:ascii="Times New Roman" w:hAnsi="Times New Roman" w:cs="Times New Roman"/>
                <w:kern w:val="0"/>
                <w:sz w:val="18"/>
                <w:szCs w:val="18"/>
              </w:rPr>
              <w:t>㎡，建筑面积</w:t>
            </w:r>
            <w:r>
              <w:rPr>
                <w:rFonts w:ascii="Times New Roman" w:hAnsi="Times New Roman" w:cs="Times New Roman"/>
                <w:kern w:val="0"/>
                <w:sz w:val="18"/>
                <w:szCs w:val="18"/>
              </w:rPr>
              <w:t>44985.7</w:t>
            </w:r>
            <w:r>
              <w:rPr>
                <w:rFonts w:ascii="Times New Roman" w:hAnsi="Times New Roman" w:cs="Times New Roman"/>
                <w:kern w:val="0"/>
                <w:sz w:val="18"/>
                <w:szCs w:val="18"/>
              </w:rPr>
              <w:t>㎡，主要包括天然矿泉水车间</w:t>
            </w:r>
            <w:r>
              <w:rPr>
                <w:rFonts w:ascii="Times New Roman" w:hAnsi="Times New Roman" w:cs="Times New Roman"/>
                <w:kern w:val="0"/>
                <w:sz w:val="18"/>
                <w:szCs w:val="18"/>
              </w:rPr>
              <w:t>10903.8</w:t>
            </w:r>
            <w:r>
              <w:rPr>
                <w:rFonts w:ascii="Times New Roman" w:hAnsi="Times New Roman" w:cs="Times New Roman"/>
                <w:kern w:val="0"/>
                <w:sz w:val="18"/>
                <w:szCs w:val="18"/>
              </w:rPr>
              <w:t>㎡、饮品车间</w:t>
            </w:r>
            <w:r>
              <w:rPr>
                <w:rFonts w:ascii="Times New Roman" w:hAnsi="Times New Roman" w:cs="Times New Roman"/>
                <w:kern w:val="0"/>
                <w:sz w:val="18"/>
                <w:szCs w:val="18"/>
              </w:rPr>
              <w:t>3800</w:t>
            </w:r>
            <w:r>
              <w:rPr>
                <w:rFonts w:ascii="Times New Roman" w:hAnsi="Times New Roman" w:cs="Times New Roman"/>
                <w:kern w:val="0"/>
                <w:sz w:val="18"/>
                <w:szCs w:val="18"/>
              </w:rPr>
              <w:t>㎡、啤酒生产车间</w:t>
            </w:r>
            <w:r>
              <w:rPr>
                <w:rFonts w:ascii="Times New Roman" w:hAnsi="Times New Roman" w:cs="Times New Roman"/>
                <w:kern w:val="0"/>
                <w:sz w:val="18"/>
                <w:szCs w:val="18"/>
              </w:rPr>
              <w:t>3800</w:t>
            </w:r>
            <w:r>
              <w:rPr>
                <w:rFonts w:ascii="Times New Roman" w:hAnsi="Times New Roman" w:cs="Times New Roman"/>
                <w:kern w:val="0"/>
                <w:sz w:val="18"/>
                <w:szCs w:val="18"/>
              </w:rPr>
              <w:t>㎡、葡萄酒生产车间</w:t>
            </w:r>
            <w:r>
              <w:rPr>
                <w:rFonts w:ascii="Times New Roman" w:hAnsi="Times New Roman" w:cs="Times New Roman"/>
                <w:kern w:val="0"/>
                <w:sz w:val="18"/>
                <w:szCs w:val="18"/>
              </w:rPr>
              <w:t>2560</w:t>
            </w:r>
            <w:r>
              <w:rPr>
                <w:rFonts w:ascii="Times New Roman" w:hAnsi="Times New Roman" w:cs="Times New Roman"/>
                <w:kern w:val="0"/>
                <w:sz w:val="18"/>
                <w:szCs w:val="18"/>
              </w:rPr>
              <w:t>㎡、原辅材料库</w:t>
            </w:r>
            <w:r>
              <w:rPr>
                <w:rFonts w:ascii="Times New Roman" w:hAnsi="Times New Roman" w:cs="Times New Roman"/>
                <w:kern w:val="0"/>
                <w:sz w:val="18"/>
                <w:szCs w:val="18"/>
              </w:rPr>
              <w:t>4206.94</w:t>
            </w:r>
            <w:r>
              <w:rPr>
                <w:rFonts w:ascii="Times New Roman" w:hAnsi="Times New Roman" w:cs="Times New Roman"/>
                <w:kern w:val="0"/>
                <w:sz w:val="18"/>
                <w:szCs w:val="18"/>
              </w:rPr>
              <w:t>㎡、成品库</w:t>
            </w:r>
            <w:r>
              <w:rPr>
                <w:rFonts w:ascii="Times New Roman" w:hAnsi="Times New Roman" w:cs="Times New Roman"/>
                <w:kern w:val="0"/>
                <w:sz w:val="18"/>
                <w:szCs w:val="18"/>
              </w:rPr>
              <w:t>5173.96</w:t>
            </w:r>
            <w:r>
              <w:rPr>
                <w:rFonts w:ascii="Times New Roman" w:hAnsi="Times New Roman" w:cs="Times New Roman"/>
                <w:kern w:val="0"/>
                <w:sz w:val="18"/>
                <w:szCs w:val="18"/>
              </w:rPr>
              <w:t>㎡、冷库</w:t>
            </w:r>
            <w:r>
              <w:rPr>
                <w:rFonts w:ascii="Times New Roman" w:hAnsi="Times New Roman" w:cs="Times New Roman"/>
                <w:kern w:val="0"/>
                <w:sz w:val="18"/>
                <w:szCs w:val="18"/>
              </w:rPr>
              <w:t>519</w:t>
            </w:r>
            <w:r>
              <w:rPr>
                <w:rFonts w:ascii="Times New Roman" w:hAnsi="Times New Roman" w:cs="Times New Roman"/>
                <w:kern w:val="0"/>
                <w:sz w:val="18"/>
                <w:szCs w:val="18"/>
              </w:rPr>
              <w:t>㎡、综合办公楼</w:t>
            </w:r>
            <w:r>
              <w:rPr>
                <w:rFonts w:ascii="Times New Roman" w:hAnsi="Times New Roman" w:cs="Times New Roman"/>
                <w:kern w:val="0"/>
                <w:sz w:val="18"/>
                <w:szCs w:val="18"/>
              </w:rPr>
              <w:t>8640</w:t>
            </w:r>
            <w:r>
              <w:rPr>
                <w:rFonts w:ascii="Times New Roman" w:hAnsi="Times New Roman" w:cs="Times New Roman"/>
                <w:kern w:val="0"/>
                <w:sz w:val="18"/>
                <w:szCs w:val="18"/>
              </w:rPr>
              <w:t>㎡、职工生活楼</w:t>
            </w:r>
            <w:r>
              <w:rPr>
                <w:rFonts w:ascii="Times New Roman" w:hAnsi="Times New Roman" w:cs="Times New Roman"/>
                <w:kern w:val="0"/>
                <w:sz w:val="18"/>
                <w:szCs w:val="18"/>
              </w:rPr>
              <w:t>3552</w:t>
            </w:r>
            <w:r>
              <w:rPr>
                <w:rFonts w:ascii="Times New Roman" w:hAnsi="Times New Roman" w:cs="Times New Roman"/>
                <w:kern w:val="0"/>
                <w:sz w:val="18"/>
                <w:szCs w:val="18"/>
              </w:rPr>
              <w:t>㎡，完善配套厂区公用工程及辅助工程。</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项目建成后估计年利润总额近</w:t>
            </w:r>
            <w:r>
              <w:rPr>
                <w:rFonts w:ascii="Times New Roman" w:hAnsi="Times New Roman" w:cs="Times New Roman"/>
                <w:kern w:val="0"/>
                <w:sz w:val="18"/>
                <w:szCs w:val="18"/>
              </w:rPr>
              <w:t>1</w:t>
            </w:r>
            <w:r>
              <w:rPr>
                <w:rFonts w:ascii="Times New Roman" w:hAnsi="Times New Roman" w:cs="Times New Roman"/>
                <w:kern w:val="0"/>
                <w:sz w:val="18"/>
                <w:szCs w:val="18"/>
              </w:rPr>
              <w:t>亿元，且该项目的实施解决了部分下岗职工和剩余劳动力就业与再就业问题，有利于社会的安定团结，促进当地软环境的发展。</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2024.11</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43000</w:t>
            </w:r>
          </w:p>
        </w:tc>
      </w:tr>
      <w:tr w:rsidR="00B9739B">
        <w:trPr>
          <w:trHeight w:val="255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28</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抚松清水泉水业有限公司年产</w:t>
            </w:r>
            <w:r>
              <w:rPr>
                <w:rFonts w:ascii="Times New Roman" w:hAnsi="Times New Roman" w:cs="Times New Roman"/>
                <w:kern w:val="0"/>
                <w:sz w:val="18"/>
                <w:szCs w:val="18"/>
              </w:rPr>
              <w:t>25</w:t>
            </w:r>
            <w:r>
              <w:rPr>
                <w:rFonts w:ascii="Times New Roman" w:hAnsi="Times New Roman" w:cs="Times New Roman"/>
                <w:kern w:val="0"/>
                <w:sz w:val="18"/>
                <w:szCs w:val="18"/>
              </w:rPr>
              <w:t>万吨天然矿泉水建设项目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抚松清水泉水业有限公司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项目占地面积</w:t>
            </w:r>
            <w:r>
              <w:rPr>
                <w:rFonts w:ascii="Times New Roman" w:hAnsi="Times New Roman" w:cs="Times New Roman"/>
                <w:kern w:val="0"/>
                <w:sz w:val="18"/>
                <w:szCs w:val="18"/>
              </w:rPr>
              <w:t>6</w:t>
            </w:r>
            <w:r>
              <w:rPr>
                <w:rFonts w:ascii="Times New Roman" w:hAnsi="Times New Roman" w:cs="Times New Roman"/>
                <w:kern w:val="0"/>
                <w:sz w:val="18"/>
                <w:szCs w:val="18"/>
              </w:rPr>
              <w:t>公顷，建筑面积</w:t>
            </w:r>
            <w:r>
              <w:rPr>
                <w:rFonts w:ascii="Times New Roman" w:hAnsi="Times New Roman" w:cs="Times New Roman"/>
                <w:kern w:val="0"/>
                <w:sz w:val="18"/>
                <w:szCs w:val="18"/>
              </w:rPr>
              <w:t>46230</w:t>
            </w:r>
            <w:r>
              <w:rPr>
                <w:rFonts w:ascii="Times New Roman" w:hAnsi="Times New Roman" w:cs="Times New Roman"/>
                <w:kern w:val="0"/>
                <w:sz w:val="18"/>
                <w:szCs w:val="18"/>
              </w:rPr>
              <w:t>平方米，包括生产车间、库房、水泵房、污水池、循环水池、防渗池、消防水池、综合办公楼、研发检测中心、职工生活楼、收发室等辅助用房。项目建设</w:t>
            </w:r>
            <w:r>
              <w:rPr>
                <w:rFonts w:ascii="Times New Roman" w:hAnsi="Times New Roman" w:cs="Times New Roman"/>
                <w:kern w:val="0"/>
                <w:sz w:val="18"/>
                <w:szCs w:val="18"/>
              </w:rPr>
              <w:t>350mlPET</w:t>
            </w:r>
            <w:r>
              <w:rPr>
                <w:rFonts w:ascii="Times New Roman" w:hAnsi="Times New Roman" w:cs="Times New Roman"/>
                <w:kern w:val="0"/>
                <w:sz w:val="18"/>
                <w:szCs w:val="18"/>
              </w:rPr>
              <w:t>瓶装矿泉水</w:t>
            </w:r>
            <w:r>
              <w:rPr>
                <w:rFonts w:ascii="Times New Roman" w:hAnsi="Times New Roman" w:cs="Times New Roman"/>
                <w:kern w:val="0"/>
                <w:sz w:val="18"/>
                <w:szCs w:val="18"/>
              </w:rPr>
              <w:t>36000</w:t>
            </w:r>
            <w:r>
              <w:rPr>
                <w:rFonts w:ascii="Times New Roman" w:hAnsi="Times New Roman" w:cs="Times New Roman"/>
                <w:kern w:val="0"/>
                <w:sz w:val="18"/>
                <w:szCs w:val="18"/>
              </w:rPr>
              <w:t>瓶</w:t>
            </w:r>
            <w:r>
              <w:rPr>
                <w:rFonts w:ascii="Times New Roman" w:hAnsi="Times New Roman" w:cs="Times New Roman"/>
                <w:kern w:val="0"/>
                <w:sz w:val="18"/>
                <w:szCs w:val="18"/>
              </w:rPr>
              <w:t>/</w:t>
            </w:r>
            <w:r>
              <w:rPr>
                <w:rFonts w:ascii="Times New Roman" w:hAnsi="Times New Roman" w:cs="Times New Roman"/>
                <w:kern w:val="0"/>
                <w:sz w:val="18"/>
                <w:szCs w:val="18"/>
              </w:rPr>
              <w:t>小时及</w:t>
            </w:r>
            <w:r>
              <w:rPr>
                <w:rFonts w:ascii="Times New Roman" w:hAnsi="Times New Roman" w:cs="Times New Roman"/>
                <w:kern w:val="0"/>
                <w:sz w:val="18"/>
                <w:szCs w:val="18"/>
              </w:rPr>
              <w:t>3LPET</w:t>
            </w:r>
            <w:r>
              <w:rPr>
                <w:rFonts w:ascii="Times New Roman" w:hAnsi="Times New Roman" w:cs="Times New Roman"/>
                <w:kern w:val="0"/>
                <w:sz w:val="18"/>
                <w:szCs w:val="18"/>
              </w:rPr>
              <w:t>瓶装矿泉水</w:t>
            </w:r>
            <w:r>
              <w:rPr>
                <w:rFonts w:ascii="Times New Roman" w:hAnsi="Times New Roman" w:cs="Times New Roman"/>
                <w:kern w:val="0"/>
                <w:sz w:val="18"/>
                <w:szCs w:val="18"/>
              </w:rPr>
              <w:t>4000</w:t>
            </w:r>
            <w:r>
              <w:rPr>
                <w:rFonts w:ascii="Times New Roman" w:hAnsi="Times New Roman" w:cs="Times New Roman"/>
                <w:kern w:val="0"/>
                <w:sz w:val="18"/>
                <w:szCs w:val="18"/>
              </w:rPr>
              <w:t>瓶</w:t>
            </w:r>
            <w:r>
              <w:rPr>
                <w:rFonts w:ascii="Times New Roman" w:hAnsi="Times New Roman" w:cs="Times New Roman"/>
                <w:kern w:val="0"/>
                <w:sz w:val="18"/>
                <w:szCs w:val="18"/>
              </w:rPr>
              <w:t>/</w:t>
            </w:r>
            <w:r>
              <w:rPr>
                <w:rFonts w:ascii="Times New Roman" w:hAnsi="Times New Roman" w:cs="Times New Roman"/>
                <w:kern w:val="0"/>
                <w:sz w:val="18"/>
                <w:szCs w:val="18"/>
              </w:rPr>
              <w:t>小时各一条。购置主要生产设备</w:t>
            </w:r>
            <w:r>
              <w:rPr>
                <w:rFonts w:ascii="Times New Roman" w:hAnsi="Times New Roman" w:cs="Times New Roman"/>
                <w:kern w:val="0"/>
                <w:sz w:val="18"/>
                <w:szCs w:val="18"/>
              </w:rPr>
              <w:t>80</w:t>
            </w:r>
            <w:r>
              <w:rPr>
                <w:rFonts w:ascii="Times New Roman" w:hAnsi="Times New Roman" w:cs="Times New Roman"/>
                <w:kern w:val="0"/>
                <w:sz w:val="18"/>
                <w:szCs w:val="18"/>
              </w:rPr>
              <w:t>台（套）、办公及运输设备</w:t>
            </w:r>
            <w:r>
              <w:rPr>
                <w:rFonts w:ascii="Times New Roman" w:hAnsi="Times New Roman" w:cs="Times New Roman"/>
                <w:kern w:val="0"/>
                <w:sz w:val="18"/>
                <w:szCs w:val="18"/>
              </w:rPr>
              <w:t>110</w:t>
            </w:r>
            <w:r>
              <w:rPr>
                <w:rFonts w:ascii="Times New Roman" w:hAnsi="Times New Roman" w:cs="Times New Roman"/>
                <w:kern w:val="0"/>
                <w:sz w:val="18"/>
                <w:szCs w:val="18"/>
              </w:rPr>
              <w:t>台（套）、检验检测一期设备</w:t>
            </w:r>
            <w:r>
              <w:rPr>
                <w:rFonts w:ascii="Times New Roman" w:hAnsi="Times New Roman" w:cs="Times New Roman"/>
                <w:kern w:val="0"/>
                <w:sz w:val="18"/>
                <w:szCs w:val="18"/>
              </w:rPr>
              <w:t>23</w:t>
            </w:r>
            <w:r>
              <w:rPr>
                <w:rFonts w:ascii="Times New Roman" w:hAnsi="Times New Roman" w:cs="Times New Roman"/>
                <w:kern w:val="0"/>
                <w:sz w:val="18"/>
                <w:szCs w:val="18"/>
              </w:rPr>
              <w:t>台（套）。</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该项目的实施解决了部分下岗职工和富余劳动力就业与再就业问题</w:t>
            </w:r>
            <w:r>
              <w:rPr>
                <w:rFonts w:ascii="Times New Roman" w:hAnsi="Times New Roman" w:cs="Times New Roman"/>
                <w:kern w:val="0"/>
                <w:sz w:val="18"/>
                <w:szCs w:val="18"/>
              </w:rPr>
              <w:t>,</w:t>
            </w:r>
            <w:r>
              <w:rPr>
                <w:rFonts w:ascii="Times New Roman" w:hAnsi="Times New Roman" w:cs="Times New Roman"/>
                <w:kern w:val="0"/>
                <w:sz w:val="18"/>
                <w:szCs w:val="18"/>
              </w:rPr>
              <w:t>有利于社会的安定团结</w:t>
            </w:r>
            <w:r>
              <w:rPr>
                <w:rFonts w:ascii="Times New Roman" w:hAnsi="Times New Roman" w:cs="Times New Roman"/>
                <w:kern w:val="0"/>
                <w:sz w:val="18"/>
                <w:szCs w:val="18"/>
              </w:rPr>
              <w:t>,</w:t>
            </w:r>
            <w:r>
              <w:rPr>
                <w:rFonts w:ascii="Times New Roman" w:hAnsi="Times New Roman" w:cs="Times New Roman"/>
                <w:kern w:val="0"/>
                <w:sz w:val="18"/>
                <w:szCs w:val="18"/>
              </w:rPr>
              <w:t>促进当地软环境的发展</w:t>
            </w:r>
            <w:r>
              <w:rPr>
                <w:rFonts w:ascii="Times New Roman" w:hAnsi="Times New Roman" w:cs="Times New Roman"/>
                <w:kern w:val="0"/>
                <w:sz w:val="18"/>
                <w:szCs w:val="18"/>
              </w:rPr>
              <w:t>,</w:t>
            </w:r>
            <w:r>
              <w:rPr>
                <w:rFonts w:ascii="Times New Roman" w:hAnsi="Times New Roman" w:cs="Times New Roman"/>
                <w:kern w:val="0"/>
                <w:sz w:val="18"/>
                <w:szCs w:val="18"/>
              </w:rPr>
              <w:t>有利于提高当地人民的生活质量和水平。</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2016.8-</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2022.12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31648</w:t>
            </w:r>
          </w:p>
        </w:tc>
      </w:tr>
      <w:tr w:rsidR="00B9739B">
        <w:trPr>
          <w:trHeight w:val="58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29</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抚松县丰硕绿色生态有机食品加工基地建设项目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抚松县丰硕特产有限公司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w:t>
            </w:r>
            <w:r>
              <w:rPr>
                <w:rFonts w:ascii="Times New Roman" w:hAnsi="Times New Roman" w:cs="Times New Roman"/>
                <w:kern w:val="0"/>
                <w:sz w:val="18"/>
                <w:szCs w:val="18"/>
              </w:rPr>
              <w:t>18393</w:t>
            </w:r>
            <w:r>
              <w:rPr>
                <w:rFonts w:ascii="Times New Roman" w:hAnsi="Times New Roman" w:cs="Times New Roman"/>
                <w:kern w:val="0"/>
                <w:sz w:val="18"/>
                <w:szCs w:val="18"/>
              </w:rPr>
              <w:t>平方米；总建筑面积</w:t>
            </w:r>
            <w:r>
              <w:rPr>
                <w:rFonts w:ascii="Times New Roman" w:hAnsi="Times New Roman" w:cs="Times New Roman"/>
                <w:kern w:val="0"/>
                <w:sz w:val="18"/>
                <w:szCs w:val="18"/>
              </w:rPr>
              <w:t>23497</w:t>
            </w:r>
            <w:r>
              <w:rPr>
                <w:rFonts w:ascii="Times New Roman" w:hAnsi="Times New Roman" w:cs="Times New Roman"/>
                <w:kern w:val="0"/>
                <w:sz w:val="18"/>
                <w:szCs w:val="18"/>
              </w:rPr>
              <w:t>平方米。主要建设加工车间、附属加工车间及半地下冷库。</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该项目的建设有利于扩大抚松土特产加工的影响力和经济效益。项目达产后年可实现销售收入</w:t>
            </w:r>
            <w:r>
              <w:rPr>
                <w:rFonts w:ascii="Times New Roman" w:hAnsi="Times New Roman" w:cs="Times New Roman"/>
                <w:kern w:val="0"/>
                <w:sz w:val="18"/>
                <w:szCs w:val="18"/>
              </w:rPr>
              <w:t>8879.5</w:t>
            </w:r>
            <w:r>
              <w:rPr>
                <w:rFonts w:ascii="Times New Roman" w:hAnsi="Times New Roman" w:cs="Times New Roman"/>
                <w:kern w:val="0"/>
                <w:sz w:val="18"/>
                <w:szCs w:val="18"/>
              </w:rPr>
              <w:t>万元，利润</w:t>
            </w:r>
            <w:r>
              <w:rPr>
                <w:rFonts w:ascii="Times New Roman" w:hAnsi="Times New Roman" w:cs="Times New Roman"/>
                <w:kern w:val="0"/>
                <w:sz w:val="18"/>
                <w:szCs w:val="18"/>
              </w:rPr>
              <w:t>1331.9</w:t>
            </w:r>
            <w:r>
              <w:rPr>
                <w:rFonts w:ascii="Times New Roman" w:hAnsi="Times New Roman" w:cs="Times New Roman"/>
                <w:kern w:val="0"/>
                <w:sz w:val="18"/>
                <w:szCs w:val="18"/>
              </w:rPr>
              <w:t>万元，税金</w:t>
            </w:r>
            <w:r>
              <w:rPr>
                <w:rFonts w:ascii="Times New Roman" w:hAnsi="Times New Roman" w:cs="Times New Roman"/>
                <w:kern w:val="0"/>
                <w:sz w:val="18"/>
                <w:szCs w:val="18"/>
              </w:rPr>
              <w:t>477</w:t>
            </w:r>
            <w:r>
              <w:rPr>
                <w:rFonts w:ascii="Times New Roman" w:hAnsi="Times New Roman" w:cs="Times New Roman"/>
                <w:kern w:val="0"/>
                <w:sz w:val="18"/>
                <w:szCs w:val="18"/>
              </w:rPr>
              <w:t>万元，安置就业人员</w:t>
            </w:r>
            <w:r>
              <w:rPr>
                <w:rFonts w:ascii="Times New Roman" w:hAnsi="Times New Roman" w:cs="Times New Roman"/>
                <w:kern w:val="0"/>
                <w:sz w:val="18"/>
                <w:szCs w:val="18"/>
              </w:rPr>
              <w:t>137</w:t>
            </w:r>
            <w:r>
              <w:rPr>
                <w:rFonts w:ascii="Times New Roman" w:hAnsi="Times New Roman" w:cs="Times New Roman"/>
                <w:kern w:val="0"/>
                <w:sz w:val="18"/>
                <w:szCs w:val="18"/>
              </w:rPr>
              <w:t>人。</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7860</w:t>
            </w:r>
          </w:p>
        </w:tc>
      </w:tr>
      <w:tr w:rsidR="00B9739B">
        <w:trPr>
          <w:trHeight w:val="246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30</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textAlignment w:val="center"/>
              <w:rPr>
                <w:rFonts w:ascii="Times New Roman" w:hAnsi="Times New Roman" w:cs="Times New Roman"/>
                <w:sz w:val="18"/>
                <w:szCs w:val="18"/>
              </w:rPr>
            </w:pPr>
            <w:r>
              <w:rPr>
                <w:rFonts w:ascii="Times New Roman" w:hAnsi="Times New Roman" w:cs="Times New Roman"/>
                <w:kern w:val="0"/>
                <w:sz w:val="18"/>
                <w:szCs w:val="18"/>
              </w:rPr>
              <w:t>吉林抚松森林食品药品产业园区周边基础设施配套项目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泉阳镇人民政府</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本项目拟改造道路</w:t>
            </w:r>
            <w:r>
              <w:rPr>
                <w:rFonts w:ascii="Times New Roman" w:hAnsi="Times New Roman" w:cs="Times New Roman"/>
                <w:kern w:val="0"/>
                <w:sz w:val="18"/>
                <w:szCs w:val="18"/>
              </w:rPr>
              <w:t>8</w:t>
            </w:r>
            <w:r>
              <w:rPr>
                <w:rFonts w:ascii="Times New Roman" w:hAnsi="Times New Roman" w:cs="Times New Roman"/>
                <w:kern w:val="0"/>
                <w:sz w:val="18"/>
                <w:szCs w:val="18"/>
              </w:rPr>
              <w:t>条，总长度</w:t>
            </w:r>
            <w:r>
              <w:rPr>
                <w:rFonts w:ascii="Times New Roman" w:hAnsi="Times New Roman" w:cs="Times New Roman"/>
                <w:kern w:val="0"/>
                <w:sz w:val="18"/>
                <w:szCs w:val="18"/>
              </w:rPr>
              <w:t>4368m</w:t>
            </w:r>
            <w:r>
              <w:rPr>
                <w:rFonts w:ascii="Times New Roman" w:hAnsi="Times New Roman" w:cs="Times New Roman"/>
                <w:kern w:val="0"/>
                <w:sz w:val="18"/>
                <w:szCs w:val="18"/>
              </w:rPr>
              <w:t>，道路宽为</w:t>
            </w:r>
            <w:r>
              <w:rPr>
                <w:rFonts w:ascii="Times New Roman" w:hAnsi="Times New Roman" w:cs="Times New Roman"/>
                <w:kern w:val="0"/>
                <w:sz w:val="18"/>
                <w:szCs w:val="18"/>
              </w:rPr>
              <w:t>3-4.5m</w:t>
            </w:r>
            <w:r>
              <w:rPr>
                <w:rFonts w:ascii="Times New Roman" w:hAnsi="Times New Roman" w:cs="Times New Roman"/>
                <w:kern w:val="0"/>
                <w:sz w:val="18"/>
                <w:szCs w:val="18"/>
              </w:rPr>
              <w:t>。行车道拆除并翻建总面积</w:t>
            </w:r>
            <w:r>
              <w:rPr>
                <w:rFonts w:ascii="Times New Roman" w:hAnsi="Times New Roman" w:cs="Times New Roman"/>
                <w:kern w:val="0"/>
                <w:sz w:val="18"/>
                <w:szCs w:val="18"/>
              </w:rPr>
              <w:t>16648</w:t>
            </w:r>
            <w:r>
              <w:rPr>
                <w:rFonts w:ascii="Times New Roman" w:hAnsi="Times New Roman" w:cs="Times New Roman"/>
                <w:kern w:val="0"/>
                <w:sz w:val="18"/>
                <w:szCs w:val="18"/>
              </w:rPr>
              <w:t>㎡，配套路灯</w:t>
            </w:r>
            <w:r>
              <w:rPr>
                <w:rFonts w:ascii="Times New Roman" w:hAnsi="Times New Roman" w:cs="Times New Roman"/>
                <w:kern w:val="0"/>
                <w:sz w:val="18"/>
                <w:szCs w:val="18"/>
              </w:rPr>
              <w:t>126</w:t>
            </w:r>
            <w:r>
              <w:rPr>
                <w:rFonts w:ascii="Times New Roman" w:hAnsi="Times New Roman" w:cs="Times New Roman"/>
                <w:kern w:val="0"/>
                <w:sz w:val="18"/>
                <w:szCs w:val="18"/>
              </w:rPr>
              <w:t>套、道路标线</w:t>
            </w:r>
            <w:r>
              <w:rPr>
                <w:rFonts w:ascii="Times New Roman" w:hAnsi="Times New Roman" w:cs="Times New Roman"/>
                <w:kern w:val="0"/>
                <w:sz w:val="18"/>
                <w:szCs w:val="18"/>
              </w:rPr>
              <w:t>1965.6</w:t>
            </w:r>
            <w:r>
              <w:rPr>
                <w:rFonts w:ascii="Times New Roman" w:hAnsi="Times New Roman" w:cs="Times New Roman"/>
                <w:kern w:val="0"/>
                <w:sz w:val="18"/>
                <w:szCs w:val="18"/>
              </w:rPr>
              <w:t>㎡、道路标牌</w:t>
            </w:r>
            <w:r>
              <w:rPr>
                <w:rFonts w:ascii="Times New Roman" w:hAnsi="Times New Roman" w:cs="Times New Roman"/>
                <w:kern w:val="0"/>
                <w:sz w:val="18"/>
                <w:szCs w:val="18"/>
              </w:rPr>
              <w:t>8</w:t>
            </w:r>
            <w:r>
              <w:rPr>
                <w:rFonts w:ascii="Times New Roman" w:hAnsi="Times New Roman" w:cs="Times New Roman"/>
                <w:kern w:val="0"/>
                <w:sz w:val="18"/>
                <w:szCs w:val="18"/>
              </w:rPr>
              <w:t>套。</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本项目实施完成后，除了完善城市道路网结构，给泉阳镇居民提供一个更为舒适优雅的生活环境，宽敞、便利、舒适、秩序井然的道路交通状态，是泉阳镇实现招商引资集团化、规模化、区域化，进一步形成</w:t>
            </w:r>
            <w:r>
              <w:rPr>
                <w:rFonts w:ascii="Times New Roman" w:hAnsi="Times New Roman" w:cs="Times New Roman"/>
                <w:kern w:val="0"/>
                <w:sz w:val="18"/>
                <w:szCs w:val="18"/>
              </w:rPr>
              <w:t>“</w:t>
            </w:r>
            <w:r>
              <w:rPr>
                <w:rFonts w:ascii="Times New Roman" w:hAnsi="Times New Roman" w:cs="Times New Roman"/>
                <w:kern w:val="0"/>
                <w:sz w:val="18"/>
                <w:szCs w:val="18"/>
              </w:rPr>
              <w:t>一心、两带、十点</w:t>
            </w:r>
            <w:r>
              <w:rPr>
                <w:rFonts w:ascii="Times New Roman" w:hAnsi="Times New Roman" w:cs="Times New Roman"/>
                <w:kern w:val="0"/>
                <w:sz w:val="18"/>
                <w:szCs w:val="18"/>
              </w:rPr>
              <w:t>”</w:t>
            </w:r>
            <w:r>
              <w:rPr>
                <w:rFonts w:ascii="Times New Roman" w:hAnsi="Times New Roman" w:cs="Times New Roman"/>
                <w:kern w:val="0"/>
                <w:sz w:val="18"/>
                <w:szCs w:val="18"/>
              </w:rPr>
              <w:t>的空间结构形态。</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909</w:t>
            </w:r>
          </w:p>
        </w:tc>
      </w:tr>
      <w:tr w:rsidR="00B9739B">
        <w:trPr>
          <w:trHeight w:val="66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textAlignment w:val="center"/>
              <w:rPr>
                <w:rFonts w:ascii="Times New Roman" w:hAnsi="Times New Roman" w:cs="Times New Roman"/>
                <w:sz w:val="18"/>
                <w:szCs w:val="18"/>
              </w:rPr>
            </w:pPr>
            <w:r>
              <w:rPr>
                <w:rFonts w:ascii="Times New Roman" w:hAnsi="Times New Roman" w:cs="Times New Roman"/>
                <w:kern w:val="0"/>
                <w:sz w:val="18"/>
                <w:szCs w:val="18"/>
              </w:rPr>
              <w:t>“</w:t>
            </w:r>
            <w:r>
              <w:rPr>
                <w:rFonts w:ascii="Times New Roman" w:hAnsi="Times New Roman" w:cs="Times New Roman"/>
                <w:kern w:val="0"/>
                <w:sz w:val="18"/>
                <w:szCs w:val="18"/>
              </w:rPr>
              <w:t>秸秆变肉</w:t>
            </w:r>
            <w:r>
              <w:rPr>
                <w:rFonts w:ascii="Times New Roman" w:hAnsi="Times New Roman" w:cs="Times New Roman"/>
                <w:kern w:val="0"/>
                <w:sz w:val="18"/>
                <w:szCs w:val="18"/>
              </w:rPr>
              <w:t>”</w:t>
            </w:r>
            <w:r>
              <w:rPr>
                <w:rFonts w:ascii="Times New Roman" w:hAnsi="Times New Roman" w:cs="Times New Roman"/>
                <w:kern w:val="0"/>
                <w:sz w:val="18"/>
                <w:szCs w:val="18"/>
              </w:rPr>
              <w:t>肉牛生态养殖全产业链项目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山东翔瑞生态农业有限公司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拟建设肉牛千头存栏育肥基地、育种基地、屠宰食品基地等。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项目全部达产后可实现产值</w:t>
            </w:r>
            <w:r>
              <w:rPr>
                <w:rFonts w:ascii="Times New Roman" w:hAnsi="Times New Roman" w:cs="Times New Roman"/>
                <w:kern w:val="0"/>
                <w:sz w:val="18"/>
                <w:szCs w:val="18"/>
              </w:rPr>
              <w:t>7</w:t>
            </w:r>
            <w:r>
              <w:rPr>
                <w:rFonts w:ascii="Times New Roman" w:hAnsi="Times New Roman" w:cs="Times New Roman"/>
                <w:kern w:val="0"/>
                <w:sz w:val="18"/>
                <w:szCs w:val="18"/>
              </w:rPr>
              <w:t>亿元，税收</w:t>
            </w:r>
            <w:r>
              <w:rPr>
                <w:rFonts w:ascii="Times New Roman" w:hAnsi="Times New Roman" w:cs="Times New Roman"/>
                <w:kern w:val="0"/>
                <w:sz w:val="18"/>
                <w:szCs w:val="18"/>
              </w:rPr>
              <w:t>400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2023.9</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20000</w:t>
            </w:r>
          </w:p>
        </w:tc>
      </w:tr>
      <w:tr w:rsidR="00B9739B">
        <w:trPr>
          <w:trHeight w:val="1161"/>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textAlignment w:val="center"/>
              <w:rPr>
                <w:rFonts w:ascii="Times New Roman" w:hAnsi="Times New Roman" w:cs="Times New Roman"/>
                <w:sz w:val="18"/>
                <w:szCs w:val="18"/>
              </w:rPr>
            </w:pPr>
            <w:r>
              <w:rPr>
                <w:rFonts w:ascii="Times New Roman" w:hAnsi="Times New Roman" w:cs="Times New Roman"/>
                <w:kern w:val="0"/>
                <w:sz w:val="18"/>
                <w:szCs w:val="18"/>
              </w:rPr>
              <w:t>年产</w:t>
            </w:r>
            <w:r>
              <w:rPr>
                <w:rFonts w:ascii="Times New Roman" w:hAnsi="Times New Roman" w:cs="Times New Roman"/>
                <w:kern w:val="0"/>
                <w:sz w:val="18"/>
                <w:szCs w:val="18"/>
              </w:rPr>
              <w:t>4.4</w:t>
            </w:r>
            <w:r>
              <w:rPr>
                <w:rFonts w:ascii="Times New Roman" w:hAnsi="Times New Roman" w:cs="Times New Roman"/>
                <w:kern w:val="0"/>
                <w:sz w:val="18"/>
                <w:szCs w:val="18"/>
              </w:rPr>
              <w:t>万吨长白山人参特产资源保健饮品项目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吉林省晟元饮品有限公司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项目占地规模</w:t>
            </w:r>
            <w:r>
              <w:rPr>
                <w:rFonts w:ascii="Times New Roman" w:hAnsi="Times New Roman" w:cs="Times New Roman"/>
                <w:kern w:val="0"/>
                <w:sz w:val="18"/>
                <w:szCs w:val="18"/>
              </w:rPr>
              <w:t>5619</w:t>
            </w:r>
            <w:r>
              <w:rPr>
                <w:rFonts w:ascii="Times New Roman" w:hAnsi="Times New Roman" w:cs="Times New Roman"/>
                <w:kern w:val="0"/>
                <w:sz w:val="18"/>
                <w:szCs w:val="18"/>
              </w:rPr>
              <w:t>㎡，建筑面积</w:t>
            </w:r>
            <w:r>
              <w:rPr>
                <w:rFonts w:ascii="Times New Roman" w:hAnsi="Times New Roman" w:cs="Times New Roman"/>
                <w:kern w:val="0"/>
                <w:sz w:val="18"/>
                <w:szCs w:val="18"/>
              </w:rPr>
              <w:t>5724</w:t>
            </w:r>
            <w:r>
              <w:rPr>
                <w:rFonts w:ascii="Times New Roman" w:hAnsi="Times New Roman" w:cs="Times New Roman"/>
                <w:kern w:val="0"/>
                <w:sz w:val="18"/>
                <w:szCs w:val="18"/>
              </w:rPr>
              <w:t>㎡，主要进行厂房、生产车间、办公用房及配套基础设施建设，购置设备生产线两条，一条生产线为保健饮品，一条生产线为天然山泉水。</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带动当地居民就业，解决就业</w:t>
            </w:r>
            <w:r>
              <w:rPr>
                <w:rFonts w:ascii="Times New Roman" w:hAnsi="Times New Roman" w:cs="Times New Roman"/>
                <w:kern w:val="0"/>
                <w:sz w:val="18"/>
                <w:szCs w:val="18"/>
              </w:rPr>
              <w:t>50</w:t>
            </w:r>
            <w:r>
              <w:rPr>
                <w:rFonts w:ascii="Times New Roman" w:hAnsi="Times New Roman" w:cs="Times New Roman"/>
                <w:kern w:val="0"/>
                <w:sz w:val="18"/>
                <w:szCs w:val="18"/>
              </w:rPr>
              <w:t>人左右。</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2022.7-</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2023.11</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3000</w:t>
            </w:r>
          </w:p>
        </w:tc>
      </w:tr>
      <w:tr w:rsidR="00B9739B">
        <w:trPr>
          <w:trHeight w:val="63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抚松县仙人桥麦饭石年产</w:t>
            </w:r>
            <w:r>
              <w:rPr>
                <w:rFonts w:ascii="Times New Roman" w:hAnsi="Times New Roman" w:cs="Times New Roman"/>
                <w:kern w:val="0"/>
                <w:sz w:val="18"/>
                <w:szCs w:val="18"/>
              </w:rPr>
              <w:t>5</w:t>
            </w:r>
            <w:r>
              <w:rPr>
                <w:rFonts w:ascii="Times New Roman" w:hAnsi="Times New Roman" w:cs="Times New Roman"/>
                <w:kern w:val="0"/>
                <w:sz w:val="18"/>
                <w:szCs w:val="18"/>
              </w:rPr>
              <w:t>万吨山泉水项目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沈阳市远翔路桥建筑安装工程有限公司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占地面积</w:t>
            </w:r>
            <w:r>
              <w:rPr>
                <w:rFonts w:ascii="Times New Roman" w:hAnsi="Times New Roman" w:cs="Times New Roman"/>
                <w:kern w:val="0"/>
                <w:sz w:val="18"/>
                <w:szCs w:val="18"/>
              </w:rPr>
              <w:t>0.82</w:t>
            </w:r>
            <w:r>
              <w:rPr>
                <w:rFonts w:ascii="Times New Roman" w:hAnsi="Times New Roman" w:cs="Times New Roman"/>
                <w:kern w:val="0"/>
                <w:sz w:val="18"/>
                <w:szCs w:val="18"/>
              </w:rPr>
              <w:t>公顷，建设面积约为</w:t>
            </w:r>
            <w:r>
              <w:rPr>
                <w:rFonts w:ascii="Times New Roman" w:hAnsi="Times New Roman" w:cs="Times New Roman"/>
                <w:kern w:val="0"/>
                <w:sz w:val="18"/>
                <w:szCs w:val="18"/>
              </w:rPr>
              <w:t>8000</w:t>
            </w:r>
            <w:r>
              <w:rPr>
                <w:rFonts w:ascii="Times New Roman" w:hAnsi="Times New Roman" w:cs="Times New Roman"/>
                <w:kern w:val="0"/>
                <w:sz w:val="18"/>
                <w:szCs w:val="18"/>
              </w:rPr>
              <w:t>平方米。主要建设内容为：新建生产车间占地面积约</w:t>
            </w:r>
            <w:r>
              <w:rPr>
                <w:rFonts w:ascii="Times New Roman" w:hAnsi="Times New Roman" w:cs="Times New Roman"/>
                <w:kern w:val="0"/>
                <w:sz w:val="18"/>
                <w:szCs w:val="18"/>
              </w:rPr>
              <w:t>3800</w:t>
            </w:r>
            <w:r>
              <w:rPr>
                <w:rFonts w:ascii="Times New Roman" w:hAnsi="Times New Roman" w:cs="Times New Roman"/>
                <w:kern w:val="0"/>
                <w:sz w:val="18"/>
                <w:szCs w:val="18"/>
              </w:rPr>
              <w:t>平方米，三套全自动生产线，以及配套高度净化三步过滤设备。拟新建办公区包括库房宿舍及工人生活区，学习培训区等。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项目建成后，拟完善新建水源地及相应配套设施，污水净化装置。可带来税收</w:t>
            </w:r>
            <w:r>
              <w:rPr>
                <w:rFonts w:ascii="Times New Roman" w:hAnsi="Times New Roman" w:cs="Times New Roman"/>
                <w:kern w:val="0"/>
                <w:sz w:val="18"/>
                <w:szCs w:val="18"/>
              </w:rPr>
              <w:t>100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2025.6</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2000</w:t>
            </w:r>
          </w:p>
        </w:tc>
      </w:tr>
      <w:tr w:rsidR="00B9739B">
        <w:trPr>
          <w:trHeight w:val="11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34</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吉林长白山天泉有限公司碱场沟年产</w:t>
            </w:r>
            <w:r>
              <w:rPr>
                <w:rFonts w:ascii="Times New Roman" w:hAnsi="Times New Roman" w:cs="Times New Roman"/>
                <w:kern w:val="0"/>
                <w:sz w:val="18"/>
                <w:szCs w:val="18"/>
              </w:rPr>
              <w:t>20</w:t>
            </w:r>
            <w:r>
              <w:rPr>
                <w:rFonts w:ascii="Times New Roman" w:hAnsi="Times New Roman" w:cs="Times New Roman"/>
                <w:kern w:val="0"/>
                <w:sz w:val="18"/>
                <w:szCs w:val="18"/>
              </w:rPr>
              <w:t>万吨含气矿泉水开发项目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吉林长白山天泉有限公司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项目占地面积</w:t>
            </w:r>
            <w:r>
              <w:rPr>
                <w:rFonts w:ascii="Times New Roman" w:hAnsi="Times New Roman" w:cs="Times New Roman"/>
                <w:kern w:val="0"/>
                <w:sz w:val="18"/>
                <w:szCs w:val="18"/>
              </w:rPr>
              <w:t>45000</w:t>
            </w:r>
            <w:r>
              <w:rPr>
                <w:rFonts w:ascii="Times New Roman" w:hAnsi="Times New Roman" w:cs="Times New Roman"/>
                <w:kern w:val="0"/>
                <w:sz w:val="18"/>
                <w:szCs w:val="18"/>
              </w:rPr>
              <w:t>平方米，建筑面积</w:t>
            </w:r>
            <w:r>
              <w:rPr>
                <w:rFonts w:ascii="Times New Roman" w:hAnsi="Times New Roman" w:cs="Times New Roman"/>
                <w:kern w:val="0"/>
                <w:sz w:val="18"/>
                <w:szCs w:val="18"/>
              </w:rPr>
              <w:t>15000</w:t>
            </w:r>
            <w:r>
              <w:rPr>
                <w:rFonts w:ascii="Times New Roman" w:hAnsi="Times New Roman" w:cs="Times New Roman"/>
                <w:kern w:val="0"/>
                <w:sz w:val="18"/>
                <w:szCs w:val="18"/>
              </w:rPr>
              <w:t>平方米，主要建筑物包括仓储库房、加工厂房、办公楼等，主要进行碱场沟年产</w:t>
            </w:r>
            <w:r>
              <w:rPr>
                <w:rFonts w:ascii="Times New Roman" w:hAnsi="Times New Roman" w:cs="Times New Roman"/>
                <w:kern w:val="0"/>
                <w:sz w:val="18"/>
                <w:szCs w:val="18"/>
              </w:rPr>
              <w:t>20</w:t>
            </w:r>
            <w:r>
              <w:rPr>
                <w:rFonts w:ascii="Times New Roman" w:hAnsi="Times New Roman" w:cs="Times New Roman"/>
                <w:kern w:val="0"/>
                <w:sz w:val="18"/>
                <w:szCs w:val="18"/>
              </w:rPr>
              <w:t>万吨含气矿泉水开发建设。</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工程建成投产后，年创产值</w:t>
            </w:r>
            <w:r>
              <w:rPr>
                <w:rFonts w:ascii="Times New Roman" w:hAnsi="Times New Roman" w:cs="Times New Roman"/>
                <w:kern w:val="0"/>
                <w:sz w:val="18"/>
                <w:szCs w:val="18"/>
              </w:rPr>
              <w:t>44940.7</w:t>
            </w:r>
            <w:r>
              <w:rPr>
                <w:rFonts w:ascii="Times New Roman" w:hAnsi="Times New Roman" w:cs="Times New Roman"/>
                <w:kern w:val="0"/>
                <w:sz w:val="18"/>
                <w:szCs w:val="18"/>
              </w:rPr>
              <w:t>万元，正常年均净利润</w:t>
            </w:r>
            <w:r>
              <w:rPr>
                <w:rFonts w:ascii="Times New Roman" w:hAnsi="Times New Roman" w:cs="Times New Roman"/>
                <w:kern w:val="0"/>
                <w:sz w:val="18"/>
                <w:szCs w:val="18"/>
              </w:rPr>
              <w:t>2681.0</w:t>
            </w:r>
            <w:r>
              <w:rPr>
                <w:rFonts w:ascii="Times New Roman" w:hAnsi="Times New Roman" w:cs="Times New Roman"/>
                <w:kern w:val="0"/>
                <w:sz w:val="18"/>
                <w:szCs w:val="18"/>
              </w:rPr>
              <w:t>万元，年税金及附加</w:t>
            </w:r>
            <w:r>
              <w:rPr>
                <w:rFonts w:ascii="Times New Roman" w:hAnsi="Times New Roman" w:cs="Times New Roman"/>
                <w:kern w:val="0"/>
                <w:sz w:val="18"/>
                <w:szCs w:val="18"/>
              </w:rPr>
              <w:t>1195.1</w:t>
            </w:r>
            <w:r>
              <w:rPr>
                <w:rFonts w:ascii="Times New Roman" w:hAnsi="Times New Roman" w:cs="Times New Roman"/>
                <w:kern w:val="0"/>
                <w:sz w:val="18"/>
                <w:szCs w:val="18"/>
              </w:rPr>
              <w:t>万元。带动就业</w:t>
            </w:r>
            <w:r>
              <w:rPr>
                <w:rFonts w:ascii="Times New Roman" w:hAnsi="Times New Roman" w:cs="Times New Roman"/>
                <w:kern w:val="0"/>
                <w:sz w:val="18"/>
                <w:szCs w:val="18"/>
              </w:rPr>
              <w:t>130</w:t>
            </w:r>
            <w:r>
              <w:rPr>
                <w:rFonts w:ascii="Times New Roman" w:hAnsi="Times New Roman" w:cs="Times New Roman"/>
                <w:kern w:val="0"/>
                <w:sz w:val="18"/>
                <w:szCs w:val="18"/>
              </w:rPr>
              <w:t>人。</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2023.11</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16000</w:t>
            </w:r>
          </w:p>
        </w:tc>
      </w:tr>
      <w:tr w:rsidR="00B9739B">
        <w:trPr>
          <w:trHeight w:val="1918"/>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35</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抚松工业园区绿色生态有机食品加工基地配套基础设施建设项目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吉林抚松经济开发区</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主要为场地硬化、管线铺设及道路工程，其中管线包含供热、给水、污水、雨水、消防、电力电气、电信。</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包括工资、燃料费、水电费和修理费等在内的经营费用，可直接促进区域经济的发展。项目实施将促进吉林抚松经济开发区产业园区的发展，间接增加就业机会，可以给本地经济发展带来良好的契机，对加快抚松经济发展具有积极促进作用。</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1161</w:t>
            </w:r>
          </w:p>
        </w:tc>
      </w:tr>
      <w:tr w:rsidR="00B9739B">
        <w:trPr>
          <w:trHeight w:val="2324"/>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36</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农夫山泉抚松长白山天然矿泉水有限公司年产</w:t>
            </w:r>
            <w:r>
              <w:rPr>
                <w:rFonts w:ascii="Times New Roman" w:hAnsi="Times New Roman" w:cs="Times New Roman"/>
                <w:kern w:val="0"/>
                <w:sz w:val="18"/>
                <w:szCs w:val="18"/>
              </w:rPr>
              <w:t>158</w:t>
            </w:r>
            <w:r>
              <w:rPr>
                <w:rFonts w:ascii="Times New Roman" w:hAnsi="Times New Roman" w:cs="Times New Roman"/>
                <w:kern w:val="0"/>
                <w:sz w:val="18"/>
                <w:szCs w:val="18"/>
              </w:rPr>
              <w:t>万吨天然矿泉水生产线技改项目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农夫山泉抚松长白山天然矿泉水有限公司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本项目拟改造现有生产车间，引进</w:t>
            </w:r>
            <w:r>
              <w:rPr>
                <w:rFonts w:ascii="Times New Roman" w:hAnsi="Times New Roman" w:cs="Times New Roman"/>
                <w:kern w:val="0"/>
                <w:sz w:val="18"/>
                <w:szCs w:val="18"/>
              </w:rPr>
              <w:t>12000bph</w:t>
            </w:r>
            <w:r>
              <w:rPr>
                <w:rFonts w:ascii="Times New Roman" w:hAnsi="Times New Roman" w:cs="Times New Roman"/>
                <w:kern w:val="0"/>
                <w:sz w:val="18"/>
                <w:szCs w:val="18"/>
              </w:rPr>
              <w:t>大包装天然矿泉水生产线</w:t>
            </w:r>
            <w:r>
              <w:rPr>
                <w:rFonts w:ascii="Times New Roman" w:hAnsi="Times New Roman" w:cs="Times New Roman"/>
                <w:kern w:val="0"/>
                <w:sz w:val="18"/>
                <w:szCs w:val="18"/>
              </w:rPr>
              <w:t>2</w:t>
            </w:r>
            <w:r>
              <w:rPr>
                <w:rFonts w:ascii="Times New Roman" w:hAnsi="Times New Roman" w:cs="Times New Roman"/>
                <w:kern w:val="0"/>
                <w:sz w:val="18"/>
                <w:szCs w:val="18"/>
              </w:rPr>
              <w:t>条、</w:t>
            </w:r>
            <w:r>
              <w:rPr>
                <w:rFonts w:ascii="Times New Roman" w:hAnsi="Times New Roman" w:cs="Times New Roman"/>
                <w:kern w:val="0"/>
                <w:sz w:val="18"/>
                <w:szCs w:val="18"/>
              </w:rPr>
              <w:t>81000bph</w:t>
            </w:r>
            <w:r>
              <w:rPr>
                <w:rFonts w:ascii="Times New Roman" w:hAnsi="Times New Roman" w:cs="Times New Roman"/>
                <w:kern w:val="0"/>
                <w:sz w:val="18"/>
                <w:szCs w:val="18"/>
              </w:rPr>
              <w:t>瓶装天然矿泉水生产线</w:t>
            </w:r>
            <w:r>
              <w:rPr>
                <w:rFonts w:ascii="Times New Roman" w:hAnsi="Times New Roman" w:cs="Times New Roman"/>
                <w:kern w:val="0"/>
                <w:sz w:val="18"/>
                <w:szCs w:val="18"/>
              </w:rPr>
              <w:t>2</w:t>
            </w:r>
            <w:r>
              <w:rPr>
                <w:rFonts w:ascii="Times New Roman" w:hAnsi="Times New Roman" w:cs="Times New Roman"/>
                <w:kern w:val="0"/>
                <w:sz w:val="18"/>
                <w:szCs w:val="18"/>
              </w:rPr>
              <w:t>条，购置装箱机、打码机、提扣机等国产设备，并配套水处理系统等公用工程设备，形成年产</w:t>
            </w:r>
            <w:r>
              <w:rPr>
                <w:rFonts w:ascii="Times New Roman" w:hAnsi="Times New Roman" w:cs="Times New Roman"/>
                <w:kern w:val="0"/>
                <w:sz w:val="18"/>
                <w:szCs w:val="18"/>
              </w:rPr>
              <w:t>158</w:t>
            </w:r>
            <w:r>
              <w:rPr>
                <w:rFonts w:ascii="Times New Roman" w:hAnsi="Times New Roman" w:cs="Times New Roman"/>
                <w:kern w:val="0"/>
                <w:sz w:val="18"/>
                <w:szCs w:val="18"/>
              </w:rPr>
              <w:t>万吨天然矿泉水的生产能力。</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的实施，不仅有助于进一步扩大农夫山泉饮用天然水生产规模，满足东北地区不断增长的市场需求，并且也有利于优化企业产品结构、提高技术装备水平，增强企业适应市场变化的能力，提升企业市场竞争力。</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2023.10</w:t>
            </w:r>
          </w:p>
        </w:tc>
        <w:tc>
          <w:tcPr>
            <w:tcW w:w="1380" w:type="dxa"/>
            <w:tcBorders>
              <w:top w:val="single" w:sz="4" w:space="0" w:color="000000"/>
              <w:left w:val="single" w:sz="4" w:space="0" w:color="auto"/>
              <w:bottom w:val="single" w:sz="4" w:space="0" w:color="auto"/>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39500</w:t>
            </w:r>
          </w:p>
        </w:tc>
      </w:tr>
      <w:tr w:rsidR="00B9739B">
        <w:trPr>
          <w:trHeight w:val="116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37</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绿色智慧种养殖精深加工一体化生产示范与推广项目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吉林省蜜蜜原生态生物有限公司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建立加工车间</w:t>
            </w:r>
            <w:r>
              <w:rPr>
                <w:rFonts w:ascii="Times New Roman" w:hAnsi="Times New Roman" w:cs="Times New Roman"/>
                <w:kern w:val="0"/>
                <w:sz w:val="18"/>
                <w:szCs w:val="18"/>
              </w:rPr>
              <w:t>1600</w:t>
            </w:r>
            <w:r>
              <w:rPr>
                <w:rFonts w:ascii="Times New Roman" w:hAnsi="Times New Roman" w:cs="Times New Roman"/>
                <w:kern w:val="0"/>
                <w:sz w:val="18"/>
                <w:szCs w:val="18"/>
              </w:rPr>
              <w:t>平方米，内设酿造工厂一座，饮料加工厂一座、冻干车间一座，</w:t>
            </w:r>
            <w:r>
              <w:rPr>
                <w:rFonts w:ascii="Times New Roman" w:hAnsi="Times New Roman" w:cs="Times New Roman"/>
                <w:kern w:val="0"/>
                <w:sz w:val="18"/>
                <w:szCs w:val="18"/>
              </w:rPr>
              <w:t>500</w:t>
            </w:r>
            <w:r>
              <w:rPr>
                <w:rFonts w:ascii="Times New Roman" w:hAnsi="Times New Roman" w:cs="Times New Roman"/>
                <w:kern w:val="0"/>
                <w:sz w:val="18"/>
                <w:szCs w:val="18"/>
              </w:rPr>
              <w:t>平方米冷库一座，深加工生产仪器</w:t>
            </w:r>
            <w:r>
              <w:rPr>
                <w:rFonts w:ascii="Times New Roman" w:hAnsi="Times New Roman" w:cs="Times New Roman"/>
                <w:kern w:val="0"/>
                <w:sz w:val="18"/>
                <w:szCs w:val="18"/>
              </w:rPr>
              <w:t>14</w:t>
            </w:r>
            <w:r>
              <w:rPr>
                <w:rFonts w:ascii="Times New Roman" w:hAnsi="Times New Roman" w:cs="Times New Roman"/>
                <w:kern w:val="0"/>
                <w:sz w:val="18"/>
                <w:szCs w:val="18"/>
              </w:rPr>
              <w:t>套</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可带动本地多种特色产品实现精深加工和外包销售</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2023.1-</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1000</w:t>
            </w:r>
          </w:p>
        </w:tc>
      </w:tr>
      <w:tr w:rsidR="00B9739B">
        <w:trPr>
          <w:trHeight w:val="1739"/>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38</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沿江乡食用菌种植基地二期建设项目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抚松县沿江乡人民政府</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2023</w:t>
            </w:r>
            <w:r>
              <w:rPr>
                <w:rFonts w:ascii="Times New Roman" w:hAnsi="Times New Roman" w:cs="Times New Roman"/>
                <w:kern w:val="0"/>
                <w:sz w:val="18"/>
                <w:szCs w:val="18"/>
              </w:rPr>
              <w:t>年二期计划投入资金</w:t>
            </w:r>
            <w:r>
              <w:rPr>
                <w:rFonts w:ascii="Times New Roman" w:hAnsi="Times New Roman" w:cs="Times New Roman"/>
                <w:kern w:val="0"/>
                <w:sz w:val="18"/>
                <w:szCs w:val="18"/>
              </w:rPr>
              <w:t>149.5</w:t>
            </w:r>
            <w:r>
              <w:rPr>
                <w:rFonts w:ascii="Times New Roman" w:hAnsi="Times New Roman" w:cs="Times New Roman"/>
                <w:kern w:val="0"/>
                <w:sz w:val="18"/>
                <w:szCs w:val="18"/>
              </w:rPr>
              <w:t>万元，种植基地覆层</w:t>
            </w:r>
            <w:r>
              <w:rPr>
                <w:rFonts w:ascii="Times New Roman" w:hAnsi="Times New Roman" w:cs="Times New Roman"/>
                <w:kern w:val="0"/>
                <w:sz w:val="18"/>
                <w:szCs w:val="18"/>
              </w:rPr>
              <w:t>10</w:t>
            </w:r>
            <w:r>
              <w:rPr>
                <w:rFonts w:ascii="Times New Roman" w:hAnsi="Times New Roman" w:cs="Times New Roman"/>
                <w:kern w:val="0"/>
                <w:sz w:val="18"/>
                <w:szCs w:val="18"/>
              </w:rPr>
              <w:t>公分，发酵室</w:t>
            </w:r>
            <w:r>
              <w:rPr>
                <w:rFonts w:ascii="Times New Roman" w:hAnsi="Times New Roman" w:cs="Times New Roman"/>
                <w:kern w:val="0"/>
                <w:sz w:val="18"/>
                <w:szCs w:val="18"/>
              </w:rPr>
              <w:t>10</w:t>
            </w:r>
            <w:r>
              <w:rPr>
                <w:rFonts w:ascii="Times New Roman" w:hAnsi="Times New Roman" w:cs="Times New Roman"/>
                <w:kern w:val="0"/>
                <w:sz w:val="18"/>
                <w:szCs w:val="18"/>
              </w:rPr>
              <w:t>个、晾晒架</w:t>
            </w:r>
            <w:r>
              <w:rPr>
                <w:rFonts w:ascii="Times New Roman" w:hAnsi="Times New Roman" w:cs="Times New Roman"/>
                <w:kern w:val="0"/>
                <w:sz w:val="18"/>
                <w:szCs w:val="18"/>
              </w:rPr>
              <w:t>80</w:t>
            </w:r>
            <w:r>
              <w:rPr>
                <w:rFonts w:ascii="Times New Roman" w:hAnsi="Times New Roman" w:cs="Times New Roman"/>
                <w:kern w:val="0"/>
                <w:sz w:val="18"/>
                <w:szCs w:val="18"/>
              </w:rPr>
              <w:t>个；喷淋设备及配套基础设施。</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提升产品的附加值，扩大食用菌产业链，壮大集体经济，促进就业增加村民收入。</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auto"/>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510</w:t>
            </w:r>
          </w:p>
        </w:tc>
      </w:tr>
      <w:tr w:rsidR="00B9739B">
        <w:trPr>
          <w:trHeight w:val="1441"/>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39</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抚松县长白山土特产品交易市场项目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抚松县域内土特产开发有限公司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项目占地</w:t>
            </w:r>
            <w:r>
              <w:rPr>
                <w:rFonts w:ascii="Times New Roman" w:hAnsi="Times New Roman" w:cs="Times New Roman"/>
                <w:kern w:val="0"/>
                <w:sz w:val="18"/>
                <w:szCs w:val="18"/>
              </w:rPr>
              <w:t>18226.22</w:t>
            </w:r>
            <w:r>
              <w:rPr>
                <w:rFonts w:ascii="Times New Roman" w:hAnsi="Times New Roman" w:cs="Times New Roman"/>
                <w:kern w:val="0"/>
                <w:sz w:val="18"/>
                <w:szCs w:val="18"/>
              </w:rPr>
              <w:t>平方米，建筑面积</w:t>
            </w:r>
            <w:r>
              <w:rPr>
                <w:rFonts w:ascii="Times New Roman" w:hAnsi="Times New Roman" w:cs="Times New Roman"/>
                <w:kern w:val="0"/>
                <w:sz w:val="18"/>
                <w:szCs w:val="18"/>
              </w:rPr>
              <w:t>46293.38</w:t>
            </w:r>
            <w:r>
              <w:rPr>
                <w:rFonts w:ascii="Times New Roman" w:hAnsi="Times New Roman" w:cs="Times New Roman"/>
                <w:kern w:val="0"/>
                <w:sz w:val="18"/>
                <w:szCs w:val="18"/>
              </w:rPr>
              <w:t>万平方米。</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容纳新电商企业</w:t>
            </w:r>
            <w:r>
              <w:rPr>
                <w:rFonts w:ascii="Times New Roman" w:hAnsi="Times New Roman" w:cs="Times New Roman"/>
                <w:kern w:val="0"/>
                <w:sz w:val="18"/>
                <w:szCs w:val="18"/>
              </w:rPr>
              <w:t>800</w:t>
            </w:r>
            <w:r>
              <w:rPr>
                <w:rFonts w:ascii="Times New Roman" w:hAnsi="Times New Roman" w:cs="Times New Roman"/>
                <w:kern w:val="0"/>
                <w:sz w:val="18"/>
                <w:szCs w:val="18"/>
              </w:rPr>
              <w:t>户以上，配套住宅</w:t>
            </w:r>
            <w:r>
              <w:rPr>
                <w:rFonts w:ascii="Times New Roman" w:hAnsi="Times New Roman" w:cs="Times New Roman"/>
                <w:kern w:val="0"/>
                <w:sz w:val="18"/>
                <w:szCs w:val="18"/>
              </w:rPr>
              <w:t>88</w:t>
            </w:r>
            <w:r>
              <w:rPr>
                <w:rFonts w:ascii="Times New Roman" w:hAnsi="Times New Roman" w:cs="Times New Roman"/>
                <w:kern w:val="0"/>
                <w:sz w:val="18"/>
                <w:szCs w:val="18"/>
              </w:rPr>
              <w:t>套，为投资抚松商务提供一站式服务平台，全方位提升服抚松县营商环境。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2022.6-</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2023.8</w:t>
            </w:r>
          </w:p>
        </w:tc>
        <w:tc>
          <w:tcPr>
            <w:tcW w:w="1380" w:type="dxa"/>
            <w:tcBorders>
              <w:top w:val="single" w:sz="4" w:space="0" w:color="auto"/>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124992</w:t>
            </w:r>
          </w:p>
        </w:tc>
      </w:tr>
      <w:tr w:rsidR="00B9739B">
        <w:trPr>
          <w:trHeight w:val="342"/>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40</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长白山智慧仓储物流园建设项目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吉林省冷链仓储物流有限公司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本项目规划用地面积为</w:t>
            </w:r>
            <w:r>
              <w:rPr>
                <w:rFonts w:ascii="Times New Roman" w:hAnsi="Times New Roman" w:cs="Times New Roman"/>
                <w:kern w:val="0"/>
                <w:sz w:val="18"/>
                <w:szCs w:val="18"/>
              </w:rPr>
              <w:t>79033</w:t>
            </w:r>
            <w:r>
              <w:rPr>
                <w:rFonts w:ascii="Times New Roman" w:hAnsi="Times New Roman" w:cs="Times New Roman"/>
                <w:kern w:val="0"/>
                <w:sz w:val="18"/>
                <w:szCs w:val="18"/>
              </w:rPr>
              <w:t>平方米，总建筑面积为</w:t>
            </w:r>
            <w:r>
              <w:rPr>
                <w:rFonts w:ascii="Times New Roman" w:hAnsi="Times New Roman" w:cs="Times New Roman"/>
                <w:kern w:val="0"/>
                <w:sz w:val="18"/>
                <w:szCs w:val="18"/>
              </w:rPr>
              <w:t>47766</w:t>
            </w:r>
            <w:r>
              <w:rPr>
                <w:rFonts w:ascii="Times New Roman" w:hAnsi="Times New Roman" w:cs="Times New Roman"/>
                <w:kern w:val="0"/>
                <w:sz w:val="18"/>
                <w:szCs w:val="18"/>
              </w:rPr>
              <w:t>平方米。主要建设内容包括恒主要建设内容包括冷库、综合研发中心、综合办公楼、综合服务中心、标准化库房、标准化库房、标准化生产车间、门卫、换热站、消防水池及泵房。同时，建设地下综合管廊及室外工程等。</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能够增加流通产品附加值，节约流通费用，提高流通效率，降低不必要的损耗，从某种程度上规避市场风险。解决当地大量剩余劳动力，把当地农副产品销往全国各地，增加税收。提高地区经济竞争力，社会效益显著。</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2022.9-</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50043.02</w:t>
            </w:r>
          </w:p>
        </w:tc>
      </w:tr>
      <w:tr w:rsidR="00B9739B">
        <w:trPr>
          <w:trHeight w:val="138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41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琥珀湾青少年研学基地</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抚松紫竹房地产开发有限公司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项目拟建设球类练习场、林下栈道、动物散养区、儿童游乐区、滨水观赏区、河岸堤坝、河桥、冷泉、夜间景观等内容。</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该基地建成后，球类练习场每年预计可增长收入约</w:t>
            </w:r>
            <w:r>
              <w:rPr>
                <w:rFonts w:ascii="Times New Roman" w:hAnsi="Times New Roman" w:cs="Times New Roman"/>
                <w:kern w:val="0"/>
                <w:sz w:val="18"/>
                <w:szCs w:val="18"/>
              </w:rPr>
              <w:t>38</w:t>
            </w:r>
            <w:r>
              <w:rPr>
                <w:rFonts w:ascii="Times New Roman" w:hAnsi="Times New Roman" w:cs="Times New Roman"/>
                <w:kern w:val="0"/>
                <w:sz w:val="18"/>
                <w:szCs w:val="18"/>
              </w:rPr>
              <w:t>万元。酒店的收入约</w:t>
            </w:r>
            <w:r>
              <w:rPr>
                <w:rFonts w:ascii="Times New Roman" w:hAnsi="Times New Roman" w:cs="Times New Roman"/>
                <w:kern w:val="0"/>
                <w:sz w:val="18"/>
                <w:szCs w:val="18"/>
              </w:rPr>
              <w:t>70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2023.8</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7900</w:t>
            </w:r>
          </w:p>
        </w:tc>
      </w:tr>
      <w:tr w:rsidR="00B9739B">
        <w:trPr>
          <w:trHeight w:val="265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42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抚松县养老服务中心建设项目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抚松县民政局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总用地面积</w:t>
            </w:r>
            <w:r>
              <w:rPr>
                <w:rFonts w:ascii="Times New Roman" w:hAnsi="Times New Roman" w:cs="Times New Roman"/>
                <w:kern w:val="0"/>
                <w:sz w:val="18"/>
                <w:szCs w:val="18"/>
              </w:rPr>
              <w:t>4000</w:t>
            </w:r>
            <w:r>
              <w:rPr>
                <w:rFonts w:ascii="Times New Roman" w:hAnsi="Times New Roman" w:cs="Times New Roman"/>
                <w:kern w:val="0"/>
                <w:sz w:val="18"/>
                <w:szCs w:val="18"/>
              </w:rPr>
              <w:t>平方米，总建筑面积为</w:t>
            </w:r>
            <w:r>
              <w:rPr>
                <w:rFonts w:ascii="Times New Roman" w:hAnsi="Times New Roman" w:cs="Times New Roman"/>
                <w:kern w:val="0"/>
                <w:sz w:val="18"/>
                <w:szCs w:val="18"/>
              </w:rPr>
              <w:t>3549.77</w:t>
            </w:r>
            <w:r>
              <w:rPr>
                <w:rFonts w:ascii="Times New Roman" w:hAnsi="Times New Roman" w:cs="Times New Roman"/>
                <w:kern w:val="0"/>
                <w:sz w:val="18"/>
                <w:szCs w:val="18"/>
              </w:rPr>
              <w:t>平方米。新建养老服务中心主体建筑</w:t>
            </w:r>
            <w:r>
              <w:rPr>
                <w:rFonts w:ascii="Times New Roman" w:hAnsi="Times New Roman" w:cs="Times New Roman"/>
                <w:kern w:val="0"/>
                <w:sz w:val="18"/>
                <w:szCs w:val="18"/>
              </w:rPr>
              <w:t>1</w:t>
            </w:r>
            <w:r>
              <w:rPr>
                <w:rFonts w:ascii="Times New Roman" w:hAnsi="Times New Roman" w:cs="Times New Roman"/>
                <w:kern w:val="0"/>
                <w:sz w:val="18"/>
                <w:szCs w:val="18"/>
              </w:rPr>
              <w:t>栋，建筑层数为</w:t>
            </w:r>
            <w:r>
              <w:rPr>
                <w:rFonts w:ascii="Times New Roman" w:hAnsi="Times New Roman" w:cs="Times New Roman"/>
                <w:kern w:val="0"/>
                <w:sz w:val="18"/>
                <w:szCs w:val="18"/>
              </w:rPr>
              <w:t>6</w:t>
            </w:r>
            <w:r>
              <w:rPr>
                <w:rFonts w:ascii="Times New Roman" w:hAnsi="Times New Roman" w:cs="Times New Roman"/>
                <w:kern w:val="0"/>
                <w:sz w:val="18"/>
                <w:szCs w:val="18"/>
              </w:rPr>
              <w:t>层（局部</w:t>
            </w:r>
            <w:r>
              <w:rPr>
                <w:rFonts w:ascii="Times New Roman" w:hAnsi="Times New Roman" w:cs="Times New Roman"/>
                <w:kern w:val="0"/>
                <w:sz w:val="18"/>
                <w:szCs w:val="18"/>
              </w:rPr>
              <w:t>7</w:t>
            </w:r>
            <w:r>
              <w:rPr>
                <w:rFonts w:ascii="Times New Roman" w:hAnsi="Times New Roman" w:cs="Times New Roman"/>
                <w:kern w:val="0"/>
                <w:sz w:val="18"/>
                <w:szCs w:val="18"/>
              </w:rPr>
              <w:t>层），建筑面积</w:t>
            </w:r>
            <w:r>
              <w:rPr>
                <w:rFonts w:ascii="Times New Roman" w:hAnsi="Times New Roman" w:cs="Times New Roman"/>
                <w:kern w:val="0"/>
                <w:sz w:val="18"/>
                <w:szCs w:val="18"/>
              </w:rPr>
              <w:t>3183.54</w:t>
            </w:r>
            <w:r>
              <w:rPr>
                <w:rFonts w:ascii="Times New Roman" w:hAnsi="Times New Roman" w:cs="Times New Roman"/>
                <w:kern w:val="0"/>
                <w:sz w:val="18"/>
                <w:szCs w:val="18"/>
              </w:rPr>
              <w:t>平方米；新建附属用房一栋，建筑面积</w:t>
            </w:r>
            <w:r>
              <w:rPr>
                <w:rFonts w:ascii="Times New Roman" w:hAnsi="Times New Roman" w:cs="Times New Roman"/>
                <w:kern w:val="0"/>
                <w:sz w:val="18"/>
                <w:szCs w:val="18"/>
              </w:rPr>
              <w:t>366.23</w:t>
            </w:r>
            <w:r>
              <w:rPr>
                <w:rFonts w:ascii="Times New Roman" w:hAnsi="Times New Roman" w:cs="Times New Roman"/>
                <w:kern w:val="0"/>
                <w:sz w:val="18"/>
                <w:szCs w:val="18"/>
              </w:rPr>
              <w:t>平方米。并建设室外活动场地、绿化、消防水池、道路及停车场地。</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的建设是落实国家及吉林省省老龄事业发展政策的举动，满足日益增加的老年人社会养老需要，能有效协助地方政府缓解该地区进入老龄化社会后的养老压力，为老年人创造一个良好的居住环境，让老年人能够老有所居、老有所养、老有所乐，尽享天伦之乐。</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2022.9-</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2023.11</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1896</w:t>
            </w:r>
          </w:p>
        </w:tc>
      </w:tr>
      <w:tr w:rsidR="00B9739B">
        <w:trPr>
          <w:trHeight w:val="1019"/>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鼎参堂水参交易市场项目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抚松鼎参堂市场管理股份有限公司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2</w:t>
            </w:r>
            <w:r>
              <w:rPr>
                <w:rFonts w:ascii="Times New Roman" w:hAnsi="Times New Roman" w:cs="Times New Roman"/>
                <w:kern w:val="0"/>
                <w:sz w:val="18"/>
                <w:szCs w:val="18"/>
              </w:rPr>
              <w:t>万平方米彩钢结构水参交易市场、人参数字化种质资源服务平台及人参种源繁育中心。</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改善水参交易环境，提高国家级万良镇人参交易市场竞争力。</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2025.10</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5000</w:t>
            </w:r>
          </w:p>
        </w:tc>
      </w:tr>
      <w:tr w:rsidR="00B9739B">
        <w:trPr>
          <w:trHeight w:val="158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44</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东岗镇梅花鹿养殖繁育基地扩建项目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抚松县永明种鹿繁育合作社</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建设种鹿繁育基地一处，采购种鹿</w:t>
            </w:r>
            <w:r>
              <w:rPr>
                <w:rFonts w:ascii="Times New Roman" w:hAnsi="Times New Roman" w:cs="Times New Roman"/>
                <w:kern w:val="0"/>
                <w:sz w:val="18"/>
                <w:szCs w:val="18"/>
              </w:rPr>
              <w:t>500</w:t>
            </w:r>
            <w:r>
              <w:rPr>
                <w:rFonts w:ascii="Times New Roman" w:hAnsi="Times New Roman" w:cs="Times New Roman"/>
                <w:kern w:val="0"/>
                <w:sz w:val="18"/>
                <w:szCs w:val="18"/>
              </w:rPr>
              <w:t>头，建鹿舍</w:t>
            </w:r>
            <w:r>
              <w:rPr>
                <w:rFonts w:ascii="Times New Roman" w:hAnsi="Times New Roman" w:cs="Times New Roman"/>
                <w:kern w:val="0"/>
                <w:sz w:val="18"/>
                <w:szCs w:val="18"/>
              </w:rPr>
              <w:t>6</w:t>
            </w:r>
            <w:r>
              <w:rPr>
                <w:rFonts w:ascii="Times New Roman" w:hAnsi="Times New Roman" w:cs="Times New Roman"/>
                <w:kern w:val="0"/>
                <w:sz w:val="18"/>
                <w:szCs w:val="18"/>
              </w:rPr>
              <w:t>栋，饲料间</w:t>
            </w:r>
            <w:r>
              <w:rPr>
                <w:rFonts w:ascii="Times New Roman" w:hAnsi="Times New Roman" w:cs="Times New Roman"/>
                <w:kern w:val="0"/>
                <w:sz w:val="18"/>
                <w:szCs w:val="18"/>
              </w:rPr>
              <w:t>1</w:t>
            </w:r>
            <w:r>
              <w:rPr>
                <w:rFonts w:ascii="Times New Roman" w:hAnsi="Times New Roman" w:cs="Times New Roman"/>
                <w:kern w:val="0"/>
                <w:sz w:val="18"/>
                <w:szCs w:val="18"/>
              </w:rPr>
              <w:t>间，购进饲养设施一套，鹿运动场及游人赏鹿通道。年繁育梅花鹿</w:t>
            </w:r>
            <w:r>
              <w:rPr>
                <w:rFonts w:ascii="Times New Roman" w:hAnsi="Times New Roman" w:cs="Times New Roman"/>
                <w:kern w:val="0"/>
                <w:sz w:val="18"/>
                <w:szCs w:val="18"/>
              </w:rPr>
              <w:t>500</w:t>
            </w:r>
            <w:r>
              <w:rPr>
                <w:rFonts w:ascii="Times New Roman" w:hAnsi="Times New Roman" w:cs="Times New Roman"/>
                <w:kern w:val="0"/>
                <w:sz w:val="18"/>
                <w:szCs w:val="18"/>
              </w:rPr>
              <w:t>头，出栏</w:t>
            </w:r>
            <w:r>
              <w:rPr>
                <w:rFonts w:ascii="Times New Roman" w:hAnsi="Times New Roman" w:cs="Times New Roman"/>
                <w:kern w:val="0"/>
                <w:sz w:val="18"/>
                <w:szCs w:val="18"/>
              </w:rPr>
              <w:t>500</w:t>
            </w:r>
            <w:r>
              <w:rPr>
                <w:rFonts w:ascii="Times New Roman" w:hAnsi="Times New Roman" w:cs="Times New Roman"/>
                <w:kern w:val="0"/>
                <w:sz w:val="18"/>
                <w:szCs w:val="18"/>
              </w:rPr>
              <w:t>头。</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预计营业收入</w:t>
            </w:r>
            <w:r>
              <w:rPr>
                <w:rFonts w:ascii="Times New Roman" w:hAnsi="Times New Roman" w:cs="Times New Roman"/>
                <w:kern w:val="0"/>
                <w:sz w:val="18"/>
                <w:szCs w:val="18"/>
              </w:rPr>
              <w:t>3223.2</w:t>
            </w:r>
            <w:r>
              <w:rPr>
                <w:rFonts w:ascii="Times New Roman" w:hAnsi="Times New Roman" w:cs="Times New Roman"/>
                <w:kern w:val="0"/>
                <w:sz w:val="18"/>
                <w:szCs w:val="18"/>
              </w:rPr>
              <w:t>万元，利润总额</w:t>
            </w:r>
            <w:r>
              <w:rPr>
                <w:rFonts w:ascii="Times New Roman" w:hAnsi="Times New Roman" w:cs="Times New Roman"/>
                <w:kern w:val="0"/>
                <w:sz w:val="18"/>
                <w:szCs w:val="18"/>
              </w:rPr>
              <w:t>731.65</w:t>
            </w:r>
            <w:r>
              <w:rPr>
                <w:rFonts w:ascii="Times New Roman" w:hAnsi="Times New Roman" w:cs="Times New Roman"/>
                <w:kern w:val="0"/>
                <w:sz w:val="18"/>
                <w:szCs w:val="18"/>
              </w:rPr>
              <w:t>万元；有利于推动周边畜牧业结构调整，增加就业岗位，提高收入水平。</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2023.3-</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1000</w:t>
            </w:r>
          </w:p>
        </w:tc>
      </w:tr>
      <w:tr w:rsidR="00B9739B">
        <w:trPr>
          <w:trHeight w:val="1799"/>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lastRenderedPageBreak/>
              <w:t>45</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2021</w:t>
            </w:r>
            <w:r>
              <w:rPr>
                <w:rFonts w:ascii="Times New Roman" w:hAnsi="Times New Roman" w:cs="Times New Roman"/>
                <w:kern w:val="0"/>
                <w:sz w:val="18"/>
                <w:szCs w:val="18"/>
              </w:rPr>
              <w:t>年抚松县城排水防涝设施建设项目（五里庄道路、曙光路和十三条胡同）</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抚松县住房和城乡建设局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项目建设内容主要为：五里庄道路、东岭胡同、东明胡同、东岭</w:t>
            </w:r>
            <w:r>
              <w:rPr>
                <w:rFonts w:ascii="Times New Roman" w:hAnsi="Times New Roman" w:cs="Times New Roman"/>
                <w:kern w:val="0"/>
                <w:sz w:val="18"/>
                <w:szCs w:val="18"/>
              </w:rPr>
              <w:t>1-8</w:t>
            </w:r>
            <w:r>
              <w:rPr>
                <w:rFonts w:ascii="Times New Roman" w:hAnsi="Times New Roman" w:cs="Times New Roman"/>
                <w:kern w:val="0"/>
                <w:sz w:val="18"/>
                <w:szCs w:val="18"/>
              </w:rPr>
              <w:t>胡同、春光胡同、春明胡同、曙光路、加油站南胡同等</w:t>
            </w:r>
            <w:r>
              <w:rPr>
                <w:rFonts w:ascii="Times New Roman" w:hAnsi="Times New Roman" w:cs="Times New Roman"/>
                <w:kern w:val="0"/>
                <w:sz w:val="18"/>
                <w:szCs w:val="18"/>
              </w:rPr>
              <w:t>15</w:t>
            </w:r>
            <w:r>
              <w:rPr>
                <w:rFonts w:ascii="Times New Roman" w:hAnsi="Times New Roman" w:cs="Times New Roman"/>
                <w:kern w:val="0"/>
                <w:sz w:val="18"/>
                <w:szCs w:val="18"/>
              </w:rPr>
              <w:t>条道路的排水管线、线性排水沟及对应的道路复原工程，其中道路长</w:t>
            </w:r>
            <w:r>
              <w:rPr>
                <w:rFonts w:ascii="Times New Roman" w:hAnsi="Times New Roman" w:cs="Times New Roman"/>
                <w:kern w:val="0"/>
                <w:sz w:val="18"/>
                <w:szCs w:val="18"/>
              </w:rPr>
              <w:t>3516m</w:t>
            </w:r>
            <w:r>
              <w:rPr>
                <w:rFonts w:ascii="Times New Roman" w:hAnsi="Times New Roman" w:cs="Times New Roman"/>
                <w:kern w:val="0"/>
                <w:sz w:val="18"/>
                <w:szCs w:val="18"/>
              </w:rPr>
              <w:t>，道路复原面积</w:t>
            </w:r>
            <w:r>
              <w:rPr>
                <w:rFonts w:ascii="Times New Roman" w:hAnsi="Times New Roman" w:cs="Times New Roman"/>
                <w:kern w:val="0"/>
                <w:sz w:val="18"/>
                <w:szCs w:val="18"/>
              </w:rPr>
              <w:t xml:space="preserve">16547 </w:t>
            </w:r>
            <w:r>
              <w:rPr>
                <w:rFonts w:ascii="Times New Roman" w:hAnsi="Times New Roman" w:cs="Times New Roman"/>
                <w:kern w:val="0"/>
                <w:sz w:val="18"/>
                <w:szCs w:val="18"/>
              </w:rPr>
              <w:t>㎡，雨水管线</w:t>
            </w:r>
            <w:r>
              <w:rPr>
                <w:rFonts w:ascii="Times New Roman" w:hAnsi="Times New Roman" w:cs="Times New Roman"/>
                <w:kern w:val="0"/>
                <w:sz w:val="18"/>
                <w:szCs w:val="18"/>
              </w:rPr>
              <w:t>1515m</w:t>
            </w:r>
            <w:r>
              <w:rPr>
                <w:rFonts w:ascii="Times New Roman" w:hAnsi="Times New Roman" w:cs="Times New Roman"/>
                <w:kern w:val="0"/>
                <w:sz w:val="18"/>
                <w:szCs w:val="18"/>
              </w:rPr>
              <w:t>，线性排水沟</w:t>
            </w:r>
            <w:r>
              <w:rPr>
                <w:rFonts w:ascii="Times New Roman" w:hAnsi="Times New Roman" w:cs="Times New Roman"/>
                <w:kern w:val="0"/>
                <w:sz w:val="18"/>
                <w:szCs w:val="18"/>
              </w:rPr>
              <w:t>2001m</w:t>
            </w:r>
            <w:r>
              <w:rPr>
                <w:rFonts w:ascii="Times New Roman" w:hAnsi="Times New Roman" w:cs="Times New Roman"/>
                <w:kern w:val="0"/>
                <w:sz w:val="18"/>
                <w:szCs w:val="18"/>
              </w:rPr>
              <w:t>，污水管线</w:t>
            </w:r>
            <w:r>
              <w:rPr>
                <w:rFonts w:ascii="Times New Roman" w:hAnsi="Times New Roman" w:cs="Times New Roman"/>
                <w:kern w:val="0"/>
                <w:sz w:val="18"/>
                <w:szCs w:val="18"/>
              </w:rPr>
              <w:t>3516m</w:t>
            </w:r>
            <w:r>
              <w:rPr>
                <w:rFonts w:ascii="Times New Roman" w:hAnsi="Times New Roman" w:cs="Times New Roman"/>
                <w:kern w:val="0"/>
                <w:sz w:val="18"/>
                <w:szCs w:val="18"/>
              </w:rPr>
              <w:t>。</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改善抚松县抚松镇防水排涝基础设施条件。</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2023.10</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1997.09</w:t>
            </w:r>
          </w:p>
        </w:tc>
      </w:tr>
      <w:tr w:rsidR="00B9739B">
        <w:trPr>
          <w:trHeight w:val="181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46</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抚松县人参特色产业小镇工业园（起步区）一期建设项目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抚松县人参特色产业小镇工业园（起步区）一期建设项目</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起步区基础设施及人参加工厂房。</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本项目的实施可以促进当地的经济发展，为当地提供一定的就业机会，促进社会的稳定。项目与当地社会具有较好的互适性，社会可行性良好。</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24720</w:t>
            </w:r>
          </w:p>
        </w:tc>
      </w:tr>
      <w:tr w:rsidR="00B9739B">
        <w:trPr>
          <w:trHeight w:val="13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47</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抚松县东山森林植物园建设项目（一、二期工程）</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抚松县市政设施管理中心</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建设规模总规划用地面积约为</w:t>
            </w:r>
            <w:r>
              <w:rPr>
                <w:rFonts w:ascii="Times New Roman" w:hAnsi="Times New Roman" w:cs="Times New Roman"/>
                <w:kern w:val="0"/>
                <w:sz w:val="18"/>
                <w:szCs w:val="18"/>
              </w:rPr>
              <w:t>48.53</w:t>
            </w:r>
            <w:r>
              <w:rPr>
                <w:rFonts w:ascii="Times New Roman" w:hAnsi="Times New Roman" w:cs="Times New Roman"/>
                <w:kern w:val="0"/>
                <w:sz w:val="18"/>
                <w:szCs w:val="18"/>
              </w:rPr>
              <w:t>平方米，建设钟楼等古建，人防伪装房</w:t>
            </w:r>
            <w:r>
              <w:rPr>
                <w:rFonts w:ascii="Times New Roman" w:hAnsi="Times New Roman" w:cs="Times New Roman"/>
                <w:kern w:val="0"/>
                <w:sz w:val="18"/>
                <w:szCs w:val="18"/>
              </w:rPr>
              <w:t>238</w:t>
            </w:r>
            <w:r>
              <w:rPr>
                <w:rFonts w:ascii="Times New Roman" w:hAnsi="Times New Roman" w:cs="Times New Roman"/>
                <w:kern w:val="0"/>
                <w:sz w:val="18"/>
                <w:szCs w:val="18"/>
              </w:rPr>
              <w:t>平方米，旅游管理用房</w:t>
            </w:r>
            <w:r>
              <w:rPr>
                <w:rFonts w:ascii="Times New Roman" w:hAnsi="Times New Roman" w:cs="Times New Roman"/>
                <w:kern w:val="0"/>
                <w:sz w:val="18"/>
                <w:szCs w:val="18"/>
              </w:rPr>
              <w:t>120</w:t>
            </w:r>
            <w:r>
              <w:rPr>
                <w:rFonts w:ascii="Times New Roman" w:hAnsi="Times New Roman" w:cs="Times New Roman"/>
                <w:kern w:val="0"/>
                <w:sz w:val="18"/>
                <w:szCs w:val="18"/>
              </w:rPr>
              <w:t>平方米，水冲厕所</w:t>
            </w:r>
            <w:r>
              <w:rPr>
                <w:rFonts w:ascii="Times New Roman" w:hAnsi="Times New Roman" w:cs="Times New Roman"/>
                <w:kern w:val="0"/>
                <w:sz w:val="18"/>
                <w:szCs w:val="18"/>
              </w:rPr>
              <w:t>140</w:t>
            </w:r>
            <w:r>
              <w:rPr>
                <w:rFonts w:ascii="Times New Roman" w:hAnsi="Times New Roman" w:cs="Times New Roman"/>
                <w:kern w:val="0"/>
                <w:sz w:val="18"/>
                <w:szCs w:val="18"/>
              </w:rPr>
              <w:t>平方米，建设木栈道</w:t>
            </w:r>
            <w:r>
              <w:rPr>
                <w:rFonts w:ascii="Times New Roman" w:hAnsi="Times New Roman" w:cs="Times New Roman"/>
                <w:kern w:val="0"/>
                <w:sz w:val="18"/>
                <w:szCs w:val="18"/>
              </w:rPr>
              <w:t>5678</w:t>
            </w:r>
            <w:r>
              <w:rPr>
                <w:rFonts w:ascii="Times New Roman" w:hAnsi="Times New Roman" w:cs="Times New Roman"/>
                <w:kern w:val="0"/>
                <w:sz w:val="18"/>
                <w:szCs w:val="18"/>
              </w:rPr>
              <w:t>平方米，汀步石路</w:t>
            </w:r>
            <w:r>
              <w:rPr>
                <w:rFonts w:ascii="Times New Roman" w:hAnsi="Times New Roman" w:cs="Times New Roman"/>
                <w:kern w:val="0"/>
                <w:sz w:val="18"/>
                <w:szCs w:val="18"/>
              </w:rPr>
              <w:t>4381</w:t>
            </w:r>
            <w:r>
              <w:rPr>
                <w:rFonts w:ascii="Times New Roman" w:hAnsi="Times New Roman" w:cs="Times New Roman"/>
                <w:kern w:val="0"/>
                <w:sz w:val="18"/>
                <w:szCs w:val="18"/>
              </w:rPr>
              <w:t>平方米，生态停车场</w:t>
            </w:r>
            <w:r>
              <w:rPr>
                <w:rFonts w:ascii="Times New Roman" w:hAnsi="Times New Roman" w:cs="Times New Roman"/>
                <w:kern w:val="0"/>
                <w:sz w:val="18"/>
                <w:szCs w:val="18"/>
              </w:rPr>
              <w:t>5092</w:t>
            </w:r>
            <w:r>
              <w:rPr>
                <w:rFonts w:ascii="Times New Roman" w:hAnsi="Times New Roman" w:cs="Times New Roman"/>
                <w:kern w:val="0"/>
                <w:sz w:val="18"/>
                <w:szCs w:val="18"/>
              </w:rPr>
              <w:t>平方米，景观石拱桥</w:t>
            </w:r>
            <w:r>
              <w:rPr>
                <w:rFonts w:ascii="Times New Roman" w:hAnsi="Times New Roman" w:cs="Times New Roman"/>
                <w:kern w:val="0"/>
                <w:sz w:val="18"/>
                <w:szCs w:val="18"/>
              </w:rPr>
              <w:t>3</w:t>
            </w:r>
            <w:r>
              <w:rPr>
                <w:rFonts w:ascii="Times New Roman" w:hAnsi="Times New Roman" w:cs="Times New Roman"/>
                <w:kern w:val="0"/>
                <w:sz w:val="18"/>
                <w:szCs w:val="18"/>
              </w:rPr>
              <w:t>处，亮化灯</w:t>
            </w:r>
            <w:r>
              <w:rPr>
                <w:rFonts w:ascii="Times New Roman" w:hAnsi="Times New Roman" w:cs="Times New Roman"/>
                <w:kern w:val="0"/>
                <w:sz w:val="18"/>
                <w:szCs w:val="18"/>
              </w:rPr>
              <w:t>500</w:t>
            </w:r>
            <w:r>
              <w:rPr>
                <w:rFonts w:ascii="Times New Roman" w:hAnsi="Times New Roman" w:cs="Times New Roman"/>
                <w:kern w:val="0"/>
                <w:sz w:val="18"/>
                <w:szCs w:val="18"/>
              </w:rPr>
              <w:t>盏，绿化面积</w:t>
            </w:r>
            <w:r>
              <w:rPr>
                <w:rFonts w:ascii="Times New Roman" w:hAnsi="Times New Roman" w:cs="Times New Roman"/>
                <w:kern w:val="0"/>
                <w:sz w:val="18"/>
                <w:szCs w:val="18"/>
              </w:rPr>
              <w:t>1498</w:t>
            </w:r>
            <w:r>
              <w:rPr>
                <w:rFonts w:ascii="Times New Roman" w:hAnsi="Times New Roman" w:cs="Times New Roman"/>
                <w:kern w:val="0"/>
                <w:sz w:val="18"/>
                <w:szCs w:val="18"/>
              </w:rPr>
              <w:t>平方米。</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抚松县东山公园是免费开放的多功能健康休闲公园，公园的免费开放可以刺激抚松县的旅游经济、繁荣城市文化发展。该项目建设主要目的是改善抚松当地老百姓的休闲娱乐居住条件，提高老百姓的生活质量，项目本身不是以盈利为目的，从长远来看，具有较好的社会效益。</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5182</w:t>
            </w:r>
          </w:p>
        </w:tc>
      </w:tr>
      <w:tr w:rsidR="00B9739B">
        <w:trPr>
          <w:trHeight w:val="13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lastRenderedPageBreak/>
              <w:t>48</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抚松县长白山农特产品交易展示中心建设项目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抚松长白山旅游建设开发有限公司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总占地面积</w:t>
            </w:r>
            <w:r>
              <w:rPr>
                <w:rFonts w:ascii="Times New Roman" w:hAnsi="Times New Roman" w:cs="Times New Roman"/>
                <w:kern w:val="0"/>
                <w:sz w:val="18"/>
                <w:szCs w:val="18"/>
              </w:rPr>
              <w:t>10000</w:t>
            </w:r>
            <w:r>
              <w:rPr>
                <w:rFonts w:ascii="Times New Roman" w:hAnsi="Times New Roman" w:cs="Times New Roman"/>
                <w:kern w:val="0"/>
                <w:sz w:val="18"/>
                <w:szCs w:val="18"/>
              </w:rPr>
              <w:t>㎡，总建筑面积</w:t>
            </w:r>
            <w:r>
              <w:rPr>
                <w:rFonts w:ascii="Times New Roman" w:hAnsi="Times New Roman" w:cs="Times New Roman"/>
                <w:kern w:val="0"/>
                <w:sz w:val="18"/>
                <w:szCs w:val="18"/>
              </w:rPr>
              <w:t>50498</w:t>
            </w:r>
            <w:r>
              <w:rPr>
                <w:rFonts w:ascii="Times New Roman" w:hAnsi="Times New Roman" w:cs="Times New Roman"/>
                <w:kern w:val="0"/>
                <w:sz w:val="18"/>
                <w:szCs w:val="18"/>
              </w:rPr>
              <w:t>㎡。包括室内展陈设计、外立面改造、室外药植园和中药农业园等。人参博物馆以展现中国人参文化内涵、实现赋能产业促进城市发展为目标，着力打造国家级博物馆典范。室内整体分为研学培训、网络直播、展览展示、科技创新、沉浸式体验、文创商业、中药康养、数字化交易等八大业态体系。室外药植园、中药农业产业园以</w:t>
            </w:r>
            <w:r>
              <w:rPr>
                <w:rFonts w:ascii="Times New Roman" w:hAnsi="Times New Roman" w:cs="Times New Roman"/>
                <w:kern w:val="0"/>
                <w:sz w:val="18"/>
                <w:szCs w:val="18"/>
              </w:rPr>
              <w:t>“</w:t>
            </w:r>
            <w:r>
              <w:rPr>
                <w:rFonts w:ascii="Times New Roman" w:hAnsi="Times New Roman" w:cs="Times New Roman"/>
                <w:kern w:val="0"/>
                <w:sz w:val="18"/>
                <w:szCs w:val="18"/>
              </w:rPr>
              <w:t>药草文化</w:t>
            </w:r>
            <w:r>
              <w:rPr>
                <w:rFonts w:ascii="Times New Roman" w:hAnsi="Times New Roman" w:cs="Times New Roman"/>
                <w:kern w:val="0"/>
                <w:sz w:val="18"/>
                <w:szCs w:val="18"/>
              </w:rPr>
              <w:t>”“</w:t>
            </w:r>
            <w:r>
              <w:rPr>
                <w:rFonts w:ascii="Times New Roman" w:hAnsi="Times New Roman" w:cs="Times New Roman"/>
                <w:kern w:val="0"/>
                <w:sz w:val="18"/>
                <w:szCs w:val="18"/>
              </w:rPr>
              <w:t>中医文化</w:t>
            </w:r>
            <w:r>
              <w:rPr>
                <w:rFonts w:ascii="Times New Roman" w:hAnsi="Times New Roman" w:cs="Times New Roman"/>
                <w:kern w:val="0"/>
                <w:sz w:val="18"/>
                <w:szCs w:val="18"/>
              </w:rPr>
              <w:t>”</w:t>
            </w:r>
            <w:r>
              <w:rPr>
                <w:rFonts w:ascii="Times New Roman" w:hAnsi="Times New Roman" w:cs="Times New Roman"/>
                <w:kern w:val="0"/>
                <w:sz w:val="18"/>
                <w:szCs w:val="18"/>
              </w:rPr>
              <w:t>作为构园脉络，打造集景观游览、主题体验、科普教学、康体养生为一体的中药产业园。</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抚松县长白山农特产品交易展示中心</w:t>
            </w:r>
            <w:r>
              <w:rPr>
                <w:rFonts w:ascii="Times New Roman" w:hAnsi="Times New Roman" w:cs="Times New Roman"/>
                <w:sz w:val="18"/>
                <w:szCs w:val="18"/>
              </w:rPr>
              <w:t>是筹备人参产业高质量发展大会的重要内容，博物馆的如期建成对人参产业发展有着重要意义，人参博物馆的建成将筑牢人参产业文化标志，在抚松县人参文化传播、中药文化交流、科技成果转化、产业发展推动等方面继续完善功能。</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2023.3-</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60000</w:t>
            </w:r>
          </w:p>
        </w:tc>
      </w:tr>
      <w:tr w:rsidR="00B9739B">
        <w:trPr>
          <w:trHeight w:val="244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49</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榆树河抽水蓄电站建设项目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新华水力发电有限公司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根据电站上、下库地形条件及水头条件，考虑适当留有余地，本阶段初步拟定装机容量</w:t>
            </w:r>
            <w:r>
              <w:rPr>
                <w:rFonts w:ascii="Times New Roman" w:hAnsi="Times New Roman" w:cs="Times New Roman"/>
                <w:kern w:val="0"/>
                <w:sz w:val="18"/>
                <w:szCs w:val="18"/>
              </w:rPr>
              <w:t>1200MW</w:t>
            </w:r>
            <w:r>
              <w:rPr>
                <w:rFonts w:ascii="Times New Roman" w:hAnsi="Times New Roman" w:cs="Times New Roman"/>
                <w:kern w:val="0"/>
                <w:sz w:val="18"/>
                <w:szCs w:val="18"/>
              </w:rPr>
              <w:t>，共安装</w:t>
            </w:r>
            <w:r>
              <w:rPr>
                <w:rFonts w:ascii="Times New Roman" w:hAnsi="Times New Roman" w:cs="Times New Roman"/>
                <w:kern w:val="0"/>
                <w:sz w:val="18"/>
                <w:szCs w:val="18"/>
              </w:rPr>
              <w:t>4</w:t>
            </w:r>
            <w:r>
              <w:rPr>
                <w:rFonts w:ascii="Times New Roman" w:hAnsi="Times New Roman" w:cs="Times New Roman"/>
                <w:kern w:val="0"/>
                <w:sz w:val="18"/>
                <w:szCs w:val="18"/>
              </w:rPr>
              <w:t>台混流可逆式水泵</w:t>
            </w:r>
            <w:r>
              <w:rPr>
                <w:rFonts w:ascii="Times New Roman" w:hAnsi="Times New Roman" w:cs="Times New Roman"/>
                <w:kern w:val="0"/>
                <w:sz w:val="18"/>
                <w:szCs w:val="18"/>
              </w:rPr>
              <w:t>—</w:t>
            </w:r>
            <w:r>
              <w:rPr>
                <w:rFonts w:ascii="Times New Roman" w:hAnsi="Times New Roman" w:cs="Times New Roman"/>
                <w:kern w:val="0"/>
                <w:sz w:val="18"/>
                <w:szCs w:val="18"/>
              </w:rPr>
              <w:t>水轮机组，单机容量</w:t>
            </w:r>
            <w:r>
              <w:rPr>
                <w:rFonts w:ascii="Times New Roman" w:hAnsi="Times New Roman" w:cs="Times New Roman"/>
                <w:kern w:val="0"/>
                <w:sz w:val="18"/>
                <w:szCs w:val="18"/>
              </w:rPr>
              <w:t>300MW</w:t>
            </w:r>
            <w:r>
              <w:rPr>
                <w:rFonts w:ascii="Times New Roman" w:hAnsi="Times New Roman" w:cs="Times New Roman"/>
                <w:kern w:val="0"/>
                <w:sz w:val="18"/>
                <w:szCs w:val="18"/>
              </w:rPr>
              <w:t>。电站最大水头</w:t>
            </w:r>
            <w:r>
              <w:rPr>
                <w:rFonts w:ascii="Times New Roman" w:hAnsi="Times New Roman" w:cs="Times New Roman"/>
                <w:kern w:val="0"/>
                <w:sz w:val="18"/>
                <w:szCs w:val="18"/>
              </w:rPr>
              <w:t>306m</w:t>
            </w:r>
            <w:r>
              <w:rPr>
                <w:rFonts w:ascii="Times New Roman" w:hAnsi="Times New Roman" w:cs="Times New Roman"/>
                <w:kern w:val="0"/>
                <w:sz w:val="18"/>
                <w:szCs w:val="18"/>
              </w:rPr>
              <w:t>，最小水头</w:t>
            </w:r>
            <w:r>
              <w:rPr>
                <w:rFonts w:ascii="Times New Roman" w:hAnsi="Times New Roman" w:cs="Times New Roman"/>
                <w:kern w:val="0"/>
                <w:sz w:val="18"/>
                <w:szCs w:val="18"/>
              </w:rPr>
              <w:t>287m</w:t>
            </w:r>
            <w:r>
              <w:rPr>
                <w:rFonts w:ascii="Times New Roman" w:hAnsi="Times New Roman" w:cs="Times New Roman"/>
                <w:kern w:val="0"/>
                <w:sz w:val="18"/>
                <w:szCs w:val="18"/>
              </w:rPr>
              <w:t>，平均水头</w:t>
            </w:r>
            <w:r>
              <w:rPr>
                <w:rFonts w:ascii="Times New Roman" w:hAnsi="Times New Roman" w:cs="Times New Roman"/>
                <w:kern w:val="0"/>
                <w:sz w:val="18"/>
                <w:szCs w:val="18"/>
              </w:rPr>
              <w:t>296.5m</w:t>
            </w:r>
            <w:r>
              <w:rPr>
                <w:rFonts w:ascii="Times New Roman" w:hAnsi="Times New Roman" w:cs="Times New Roman"/>
                <w:kern w:val="0"/>
                <w:sz w:val="18"/>
                <w:szCs w:val="18"/>
              </w:rPr>
              <w:t>。</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项目投产后预计年税金</w:t>
            </w:r>
            <w:r>
              <w:rPr>
                <w:rFonts w:ascii="Times New Roman" w:hAnsi="Times New Roman" w:cs="Times New Roman"/>
                <w:kern w:val="0"/>
                <w:sz w:val="18"/>
                <w:szCs w:val="18"/>
              </w:rPr>
              <w:t>13000</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2023.10</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720000</w:t>
            </w:r>
          </w:p>
        </w:tc>
      </w:tr>
      <w:tr w:rsidR="00B9739B">
        <w:trPr>
          <w:trHeight w:val="5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2874" w:type="dxa"/>
            <w:gridSpan w:val="7"/>
            <w:tcBorders>
              <w:top w:val="single" w:sz="4" w:space="0" w:color="auto"/>
              <w:left w:val="single" w:sz="4" w:space="0" w:color="auto"/>
              <w:bottom w:val="single" w:sz="4" w:space="0" w:color="auto"/>
              <w:right w:val="single" w:sz="4" w:space="0" w:color="000000"/>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b/>
                <w:bCs/>
                <w:kern w:val="0"/>
                <w:sz w:val="18"/>
                <w:szCs w:val="18"/>
              </w:rPr>
              <w:t>三、科技创新类</w:t>
            </w:r>
            <w:r>
              <w:rPr>
                <w:rFonts w:ascii="Times New Roman" w:hAnsi="Times New Roman" w:cs="Times New Roman"/>
                <w:b/>
                <w:bCs/>
                <w:kern w:val="0"/>
                <w:sz w:val="18"/>
                <w:szCs w:val="18"/>
              </w:rPr>
              <w:t>4</w:t>
            </w:r>
            <w:r>
              <w:rPr>
                <w:rFonts w:ascii="Times New Roman" w:hAnsi="Times New Roman" w:cs="Times New Roman"/>
                <w:b/>
                <w:bCs/>
                <w:kern w:val="0"/>
                <w:sz w:val="18"/>
                <w:szCs w:val="18"/>
              </w:rPr>
              <w:t>项</w:t>
            </w:r>
          </w:p>
        </w:tc>
      </w:tr>
      <w:tr w:rsidR="00B9739B">
        <w:trPr>
          <w:trHeight w:val="9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长白山数字服务产业基地建设项目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长白山数字服务产业基地（抚松）有限公司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打造软件工程与舆情管控人才培养及企业孵化基地和影视制作人才培养及企业孵化基地。项目</w:t>
            </w:r>
            <w:r>
              <w:rPr>
                <w:rFonts w:ascii="Times New Roman" w:hAnsi="Times New Roman" w:cs="Times New Roman"/>
                <w:kern w:val="0"/>
                <w:sz w:val="18"/>
                <w:szCs w:val="18"/>
              </w:rPr>
              <w:t>500</w:t>
            </w:r>
            <w:r>
              <w:rPr>
                <w:rFonts w:ascii="Times New Roman" w:hAnsi="Times New Roman" w:cs="Times New Roman"/>
                <w:kern w:val="0"/>
                <w:sz w:val="18"/>
                <w:szCs w:val="18"/>
              </w:rPr>
              <w:t>亩产业用地。用于企业总部独栋、孵化中心、实训中心、竞技中心、会议中心等相关设施建设；</w:t>
            </w:r>
            <w:r>
              <w:rPr>
                <w:rFonts w:ascii="Times New Roman" w:hAnsi="Times New Roman" w:cs="Times New Roman"/>
                <w:kern w:val="0"/>
                <w:sz w:val="18"/>
                <w:szCs w:val="18"/>
              </w:rPr>
              <w:t>150</w:t>
            </w:r>
            <w:r>
              <w:rPr>
                <w:rFonts w:ascii="Times New Roman" w:hAnsi="Times New Roman" w:cs="Times New Roman"/>
                <w:kern w:val="0"/>
                <w:sz w:val="18"/>
                <w:szCs w:val="18"/>
              </w:rPr>
              <w:t>亩商住用地。用于专家公寓、员工住宅、商业服务中心等配套设施建设。起步区</w:t>
            </w:r>
            <w:r>
              <w:rPr>
                <w:rFonts w:ascii="Times New Roman" w:hAnsi="Times New Roman" w:cs="Times New Roman"/>
                <w:kern w:val="0"/>
                <w:sz w:val="18"/>
                <w:szCs w:val="18"/>
              </w:rPr>
              <w:t>2023</w:t>
            </w:r>
            <w:r>
              <w:rPr>
                <w:rFonts w:ascii="Times New Roman" w:hAnsi="Times New Roman" w:cs="Times New Roman"/>
                <w:kern w:val="0"/>
                <w:sz w:val="18"/>
                <w:szCs w:val="18"/>
              </w:rPr>
              <w:t>年计划改造</w:t>
            </w:r>
            <w:r>
              <w:rPr>
                <w:rFonts w:ascii="Times New Roman" w:hAnsi="Times New Roman" w:cs="Times New Roman"/>
                <w:kern w:val="0"/>
                <w:sz w:val="18"/>
                <w:szCs w:val="18"/>
              </w:rPr>
              <w:t>5500</w:t>
            </w:r>
            <w:r>
              <w:rPr>
                <w:rFonts w:ascii="Times New Roman" w:hAnsi="Times New Roman" w:cs="Times New Roman"/>
                <w:kern w:val="0"/>
                <w:sz w:val="18"/>
                <w:szCs w:val="18"/>
              </w:rPr>
              <w:t>平米教学、办公、宿舍及企业孵化器载体，</w:t>
            </w:r>
            <w:r>
              <w:rPr>
                <w:rFonts w:ascii="Times New Roman" w:hAnsi="Times New Roman" w:cs="Times New Roman"/>
                <w:kern w:val="0"/>
                <w:sz w:val="18"/>
                <w:szCs w:val="18"/>
              </w:rPr>
              <w:t>1500</w:t>
            </w:r>
            <w:r>
              <w:rPr>
                <w:rFonts w:ascii="Times New Roman" w:hAnsi="Times New Roman" w:cs="Times New Roman"/>
                <w:kern w:val="0"/>
                <w:sz w:val="18"/>
                <w:szCs w:val="18"/>
              </w:rPr>
              <w:t>平米软件工程与舆情管控实训中心，</w:t>
            </w:r>
            <w:r>
              <w:rPr>
                <w:rFonts w:ascii="Times New Roman" w:hAnsi="Times New Roman" w:cs="Times New Roman"/>
                <w:kern w:val="0"/>
                <w:sz w:val="18"/>
                <w:szCs w:val="18"/>
              </w:rPr>
              <w:t>2000</w:t>
            </w:r>
            <w:r>
              <w:rPr>
                <w:rFonts w:ascii="Times New Roman" w:hAnsi="Times New Roman" w:cs="Times New Roman"/>
                <w:kern w:val="0"/>
                <w:sz w:val="18"/>
                <w:szCs w:val="18"/>
              </w:rPr>
              <w:t>平米影视制作实训中心，购置设备</w:t>
            </w:r>
            <w:r>
              <w:rPr>
                <w:rFonts w:ascii="Times New Roman" w:hAnsi="Times New Roman" w:cs="Times New Roman"/>
                <w:kern w:val="0"/>
                <w:sz w:val="18"/>
                <w:szCs w:val="18"/>
              </w:rPr>
              <w:t>60</w:t>
            </w:r>
            <w:r>
              <w:rPr>
                <w:rFonts w:ascii="Times New Roman" w:hAnsi="Times New Roman" w:cs="Times New Roman"/>
                <w:kern w:val="0"/>
                <w:sz w:val="18"/>
                <w:szCs w:val="18"/>
              </w:rPr>
              <w:t>套。</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项目整体预计未来</w:t>
            </w:r>
            <w:r>
              <w:rPr>
                <w:rFonts w:ascii="Times New Roman" w:hAnsi="Times New Roman" w:cs="Times New Roman"/>
                <w:kern w:val="0"/>
                <w:sz w:val="18"/>
                <w:szCs w:val="18"/>
              </w:rPr>
              <w:t>7</w:t>
            </w:r>
            <w:r>
              <w:rPr>
                <w:rFonts w:ascii="Times New Roman" w:hAnsi="Times New Roman" w:cs="Times New Roman"/>
                <w:kern w:val="0"/>
                <w:sz w:val="18"/>
                <w:szCs w:val="18"/>
              </w:rPr>
              <w:t>年</w:t>
            </w:r>
            <w:r>
              <w:rPr>
                <w:rFonts w:ascii="Times New Roman" w:hAnsi="Times New Roman" w:cs="Times New Roman"/>
                <w:kern w:val="0"/>
                <w:sz w:val="18"/>
                <w:szCs w:val="18"/>
              </w:rPr>
              <w:t>-10</w:t>
            </w:r>
            <w:r>
              <w:rPr>
                <w:rFonts w:ascii="Times New Roman" w:hAnsi="Times New Roman" w:cs="Times New Roman"/>
                <w:kern w:val="0"/>
                <w:sz w:val="18"/>
                <w:szCs w:val="18"/>
              </w:rPr>
              <w:t>年，贡献</w:t>
            </w:r>
            <w:r>
              <w:rPr>
                <w:rFonts w:ascii="Times New Roman" w:hAnsi="Times New Roman" w:cs="Times New Roman"/>
                <w:kern w:val="0"/>
                <w:sz w:val="18"/>
                <w:szCs w:val="18"/>
              </w:rPr>
              <w:t>2</w:t>
            </w:r>
            <w:r>
              <w:rPr>
                <w:rFonts w:ascii="Times New Roman" w:hAnsi="Times New Roman" w:cs="Times New Roman"/>
                <w:kern w:val="0"/>
                <w:sz w:val="18"/>
                <w:szCs w:val="18"/>
              </w:rPr>
              <w:t>亿元年地方财政收入，直接提供超过</w:t>
            </w:r>
            <w:r>
              <w:rPr>
                <w:rFonts w:ascii="Times New Roman" w:hAnsi="Times New Roman" w:cs="Times New Roman"/>
                <w:kern w:val="0"/>
                <w:sz w:val="18"/>
                <w:szCs w:val="18"/>
              </w:rPr>
              <w:t>5000</w:t>
            </w:r>
            <w:r>
              <w:rPr>
                <w:rFonts w:ascii="Times New Roman" w:hAnsi="Times New Roman" w:cs="Times New Roman"/>
                <w:kern w:val="0"/>
                <w:sz w:val="18"/>
                <w:szCs w:val="18"/>
              </w:rPr>
              <w:t>个就业岗位，培养聚集</w:t>
            </w:r>
            <w:r>
              <w:rPr>
                <w:rFonts w:ascii="Times New Roman" w:hAnsi="Times New Roman" w:cs="Times New Roman"/>
                <w:kern w:val="0"/>
                <w:sz w:val="18"/>
                <w:szCs w:val="18"/>
              </w:rPr>
              <w:t>20000</w:t>
            </w:r>
            <w:r>
              <w:rPr>
                <w:rFonts w:ascii="Times New Roman" w:hAnsi="Times New Roman" w:cs="Times New Roman"/>
                <w:kern w:val="0"/>
                <w:sz w:val="18"/>
                <w:szCs w:val="18"/>
              </w:rPr>
              <w:t>名数字服务产业人才，培育吸引</w:t>
            </w:r>
            <w:r>
              <w:rPr>
                <w:rFonts w:ascii="Times New Roman" w:hAnsi="Times New Roman" w:cs="Times New Roman"/>
                <w:kern w:val="0"/>
                <w:sz w:val="18"/>
                <w:szCs w:val="18"/>
              </w:rPr>
              <w:t>500</w:t>
            </w:r>
            <w:r>
              <w:rPr>
                <w:rFonts w:ascii="Times New Roman" w:hAnsi="Times New Roman" w:cs="Times New Roman"/>
                <w:kern w:val="0"/>
                <w:sz w:val="18"/>
                <w:szCs w:val="18"/>
              </w:rPr>
              <w:t>家数字服务产业企业，打造并提升地方</w:t>
            </w:r>
            <w:r>
              <w:rPr>
                <w:rFonts w:ascii="Times New Roman" w:hAnsi="Times New Roman" w:cs="Times New Roman"/>
                <w:kern w:val="0"/>
                <w:sz w:val="18"/>
                <w:szCs w:val="18"/>
              </w:rPr>
              <w:t>“</w:t>
            </w:r>
            <w:r>
              <w:rPr>
                <w:rFonts w:ascii="Times New Roman" w:hAnsi="Times New Roman" w:cs="Times New Roman"/>
                <w:kern w:val="0"/>
                <w:sz w:val="18"/>
                <w:szCs w:val="18"/>
              </w:rPr>
              <w:t>数字服务品牌</w:t>
            </w:r>
            <w:r>
              <w:rPr>
                <w:rFonts w:ascii="Times New Roman" w:hAnsi="Times New Roman" w:cs="Times New Roman"/>
                <w:kern w:val="0"/>
                <w:sz w:val="18"/>
                <w:szCs w:val="18"/>
              </w:rPr>
              <w:t>”</w:t>
            </w:r>
            <w:r>
              <w:rPr>
                <w:rFonts w:ascii="Times New Roman" w:hAnsi="Times New Roman" w:cs="Times New Roman"/>
                <w:kern w:val="0"/>
                <w:sz w:val="18"/>
                <w:szCs w:val="18"/>
              </w:rPr>
              <w:t>，带动地方数字服务产业发展。（</w:t>
            </w:r>
            <w:r>
              <w:rPr>
                <w:rFonts w:ascii="Times New Roman" w:hAnsi="Times New Roman" w:cs="Times New Roman"/>
                <w:kern w:val="0"/>
                <w:sz w:val="18"/>
                <w:szCs w:val="18"/>
              </w:rPr>
              <w:t>2023</w:t>
            </w:r>
            <w:r>
              <w:rPr>
                <w:rFonts w:ascii="Times New Roman" w:hAnsi="Times New Roman" w:cs="Times New Roman"/>
                <w:kern w:val="0"/>
                <w:sz w:val="18"/>
                <w:szCs w:val="18"/>
              </w:rPr>
              <w:t>年提供就业岗位</w:t>
            </w:r>
            <w:r>
              <w:rPr>
                <w:rFonts w:ascii="Times New Roman" w:hAnsi="Times New Roman" w:cs="Times New Roman"/>
                <w:kern w:val="0"/>
                <w:sz w:val="18"/>
                <w:szCs w:val="18"/>
              </w:rPr>
              <w:t>400</w:t>
            </w:r>
            <w:r>
              <w:rPr>
                <w:rFonts w:ascii="Times New Roman" w:hAnsi="Times New Roman" w:cs="Times New Roman"/>
                <w:kern w:val="0"/>
                <w:sz w:val="18"/>
                <w:szCs w:val="18"/>
              </w:rPr>
              <w:t>余个，企业产值将达</w:t>
            </w:r>
            <w:r>
              <w:rPr>
                <w:rFonts w:ascii="Times New Roman" w:hAnsi="Times New Roman" w:cs="Times New Roman"/>
                <w:kern w:val="0"/>
                <w:sz w:val="18"/>
                <w:szCs w:val="18"/>
              </w:rPr>
              <w:t>5000</w:t>
            </w:r>
            <w:r>
              <w:rPr>
                <w:rFonts w:ascii="Times New Roman" w:hAnsi="Times New Roman" w:cs="Times New Roman"/>
                <w:kern w:val="0"/>
                <w:sz w:val="18"/>
                <w:szCs w:val="18"/>
              </w:rPr>
              <w:t>万，引入设立不低于</w:t>
            </w:r>
            <w:r>
              <w:rPr>
                <w:rFonts w:ascii="Times New Roman" w:hAnsi="Times New Roman" w:cs="Times New Roman"/>
                <w:kern w:val="0"/>
                <w:sz w:val="18"/>
                <w:szCs w:val="18"/>
              </w:rPr>
              <w:t>10</w:t>
            </w:r>
            <w:r>
              <w:rPr>
                <w:rFonts w:ascii="Times New Roman" w:hAnsi="Times New Roman" w:cs="Times New Roman"/>
                <w:kern w:val="0"/>
                <w:sz w:val="18"/>
                <w:szCs w:val="18"/>
              </w:rPr>
              <w:t>家新兴数字服务产业企业）。</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2023.1-</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10000</w:t>
            </w:r>
          </w:p>
        </w:tc>
      </w:tr>
      <w:tr w:rsidR="00B9739B">
        <w:trPr>
          <w:trHeight w:val="276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抚松县公共实验检测中心建设项目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农业</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农村局</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项目占地面积</w:t>
            </w:r>
            <w:r>
              <w:rPr>
                <w:rFonts w:ascii="Times New Roman" w:hAnsi="Times New Roman" w:cs="Times New Roman"/>
                <w:kern w:val="0"/>
                <w:sz w:val="18"/>
                <w:szCs w:val="18"/>
              </w:rPr>
              <w:t>5000</w:t>
            </w:r>
            <w:r>
              <w:rPr>
                <w:rFonts w:ascii="Times New Roman" w:hAnsi="Times New Roman" w:cs="Times New Roman"/>
                <w:kern w:val="0"/>
                <w:sz w:val="18"/>
                <w:szCs w:val="18"/>
              </w:rPr>
              <w:t>平方米，总建筑面积</w:t>
            </w:r>
            <w:r>
              <w:rPr>
                <w:rFonts w:ascii="Times New Roman" w:hAnsi="Times New Roman" w:cs="Times New Roman"/>
                <w:kern w:val="0"/>
                <w:sz w:val="18"/>
                <w:szCs w:val="18"/>
              </w:rPr>
              <w:t>5552.96</w:t>
            </w:r>
            <w:r>
              <w:rPr>
                <w:rFonts w:ascii="Times New Roman" w:hAnsi="Times New Roman" w:cs="Times New Roman"/>
                <w:kern w:val="0"/>
                <w:sz w:val="18"/>
                <w:szCs w:val="18"/>
              </w:rPr>
              <w:t>平方米。检测中心分南楼和北楼，层连通为检测大厅，北楼为五层，二层至五层是检测室：南楼为三层，二层、三层为冷库室、资料室、档案室及铺助用房。</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项目的建设有利于提高抚松县产品质量，适应检验检测的发展要求，生产人民群众满意的产品，促进抚松县经济社会快速稳定发展。</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2023.7-</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2500</w:t>
            </w:r>
          </w:p>
        </w:tc>
      </w:tr>
      <w:tr w:rsidR="00B9739B">
        <w:trPr>
          <w:trHeight w:val="2071"/>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lastRenderedPageBreak/>
              <w:t>52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抚松科技创新产业园区建设项目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吉林省参城投资有限公司</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项目占地面积</w:t>
            </w:r>
            <w:r>
              <w:rPr>
                <w:rFonts w:ascii="Times New Roman" w:hAnsi="Times New Roman" w:cs="Times New Roman"/>
                <w:kern w:val="0"/>
                <w:sz w:val="18"/>
                <w:szCs w:val="18"/>
              </w:rPr>
              <w:t>68909</w:t>
            </w:r>
            <w:r>
              <w:rPr>
                <w:rFonts w:ascii="Times New Roman" w:hAnsi="Times New Roman" w:cs="Times New Roman"/>
                <w:kern w:val="0"/>
                <w:sz w:val="18"/>
                <w:szCs w:val="18"/>
              </w:rPr>
              <w:t>平方米，总建筑面积</w:t>
            </w:r>
            <w:r>
              <w:rPr>
                <w:rFonts w:ascii="Times New Roman" w:hAnsi="Times New Roman" w:cs="Times New Roman"/>
                <w:kern w:val="0"/>
                <w:sz w:val="18"/>
                <w:szCs w:val="18"/>
              </w:rPr>
              <w:t>83100</w:t>
            </w:r>
            <w:r>
              <w:rPr>
                <w:rFonts w:ascii="Times New Roman" w:hAnsi="Times New Roman" w:cs="Times New Roman"/>
                <w:kern w:val="0"/>
                <w:sz w:val="18"/>
                <w:szCs w:val="18"/>
              </w:rPr>
              <w:t>平方米。项目主要建设科创研发中心</w:t>
            </w:r>
            <w:r>
              <w:rPr>
                <w:rFonts w:ascii="Times New Roman" w:hAnsi="Times New Roman" w:cs="Times New Roman"/>
                <w:kern w:val="0"/>
                <w:sz w:val="18"/>
                <w:szCs w:val="18"/>
              </w:rPr>
              <w:t>3</w:t>
            </w:r>
            <w:r>
              <w:rPr>
                <w:rFonts w:ascii="Times New Roman" w:hAnsi="Times New Roman" w:cs="Times New Roman"/>
                <w:kern w:val="0"/>
                <w:sz w:val="18"/>
                <w:szCs w:val="18"/>
              </w:rPr>
              <w:t>座；综合服务楼</w:t>
            </w:r>
            <w:r>
              <w:rPr>
                <w:rFonts w:ascii="Times New Roman" w:hAnsi="Times New Roman" w:cs="Times New Roman"/>
                <w:kern w:val="0"/>
                <w:sz w:val="18"/>
                <w:szCs w:val="18"/>
              </w:rPr>
              <w:t>1</w:t>
            </w:r>
            <w:r>
              <w:rPr>
                <w:rFonts w:ascii="Times New Roman" w:hAnsi="Times New Roman" w:cs="Times New Roman"/>
                <w:kern w:val="0"/>
                <w:sz w:val="18"/>
                <w:szCs w:val="18"/>
              </w:rPr>
              <w:t>座；职工宿舍楼</w:t>
            </w:r>
            <w:r>
              <w:rPr>
                <w:rFonts w:ascii="Times New Roman" w:hAnsi="Times New Roman" w:cs="Times New Roman"/>
                <w:kern w:val="0"/>
                <w:sz w:val="18"/>
                <w:szCs w:val="18"/>
              </w:rPr>
              <w:t>1</w:t>
            </w:r>
            <w:r>
              <w:rPr>
                <w:rFonts w:ascii="Times New Roman" w:hAnsi="Times New Roman" w:cs="Times New Roman"/>
                <w:kern w:val="0"/>
                <w:sz w:val="18"/>
                <w:szCs w:val="18"/>
              </w:rPr>
              <w:t>座；中试及科技成果转化车间</w:t>
            </w:r>
            <w:r>
              <w:rPr>
                <w:rFonts w:ascii="Times New Roman" w:hAnsi="Times New Roman" w:cs="Times New Roman"/>
                <w:kern w:val="0"/>
                <w:sz w:val="18"/>
                <w:szCs w:val="18"/>
              </w:rPr>
              <w:t>6</w:t>
            </w:r>
            <w:r>
              <w:rPr>
                <w:rFonts w:ascii="Times New Roman" w:hAnsi="Times New Roman" w:cs="Times New Roman"/>
                <w:kern w:val="0"/>
                <w:sz w:val="18"/>
                <w:szCs w:val="18"/>
              </w:rPr>
              <w:t>座。</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项目达产后，拉动就业岗位</w:t>
            </w:r>
            <w:r>
              <w:rPr>
                <w:rFonts w:ascii="Times New Roman" w:hAnsi="Times New Roman" w:cs="Times New Roman"/>
                <w:kern w:val="0"/>
                <w:sz w:val="18"/>
                <w:szCs w:val="18"/>
              </w:rPr>
              <w:t>150</w:t>
            </w:r>
            <w:r>
              <w:rPr>
                <w:rFonts w:ascii="Times New Roman" w:hAnsi="Times New Roman" w:cs="Times New Roman"/>
                <w:kern w:val="0"/>
                <w:sz w:val="18"/>
                <w:szCs w:val="18"/>
              </w:rPr>
              <w:t>人。年可实现销售</w:t>
            </w:r>
            <w:r>
              <w:rPr>
                <w:rFonts w:ascii="Times New Roman" w:hAnsi="Times New Roman" w:cs="Times New Roman"/>
                <w:kern w:val="0"/>
                <w:sz w:val="18"/>
                <w:szCs w:val="18"/>
              </w:rPr>
              <w:t>3044.46</w:t>
            </w:r>
            <w:r>
              <w:rPr>
                <w:rFonts w:ascii="Times New Roman" w:hAnsi="Times New Roman" w:cs="Times New Roman"/>
                <w:kern w:val="0"/>
                <w:sz w:val="18"/>
                <w:szCs w:val="18"/>
              </w:rPr>
              <w:t>万元，利润</w:t>
            </w:r>
            <w:r>
              <w:rPr>
                <w:rFonts w:ascii="Times New Roman" w:hAnsi="Times New Roman" w:cs="Times New Roman"/>
                <w:kern w:val="0"/>
                <w:sz w:val="18"/>
                <w:szCs w:val="18"/>
              </w:rPr>
              <w:t>607.89</w:t>
            </w:r>
            <w:r>
              <w:rPr>
                <w:rFonts w:ascii="Times New Roman" w:hAnsi="Times New Roman" w:cs="Times New Roman"/>
                <w:kern w:val="0"/>
                <w:sz w:val="18"/>
                <w:szCs w:val="18"/>
              </w:rPr>
              <w:t>万元，税金</w:t>
            </w:r>
            <w:r>
              <w:rPr>
                <w:rFonts w:ascii="Times New Roman" w:hAnsi="Times New Roman" w:cs="Times New Roman"/>
                <w:kern w:val="0"/>
                <w:sz w:val="18"/>
                <w:szCs w:val="18"/>
              </w:rPr>
              <w:t>529.1</w:t>
            </w:r>
            <w:r>
              <w:rPr>
                <w:rFonts w:ascii="Times New Roman" w:hAnsi="Times New Roman" w:cs="Times New Roman"/>
                <w:kern w:val="0"/>
                <w:sz w:val="18"/>
                <w:szCs w:val="18"/>
              </w:rPr>
              <w:t>万元。</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续建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2021.6-</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2023.12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20938</w:t>
            </w:r>
          </w:p>
        </w:tc>
      </w:tr>
      <w:tr w:rsidR="00B9739B">
        <w:trPr>
          <w:trHeight w:val="255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抚松长白山资源与健康研究院项目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吉林大学生命科学学院</w:t>
            </w:r>
          </w:p>
        </w:tc>
        <w:tc>
          <w:tcPr>
            <w:tcW w:w="31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建设研究院抚松总部</w:t>
            </w:r>
            <w:r>
              <w:rPr>
                <w:rFonts w:ascii="Times New Roman" w:hAnsi="Times New Roman" w:cs="Times New Roman"/>
                <w:kern w:val="0"/>
                <w:sz w:val="18"/>
                <w:szCs w:val="18"/>
              </w:rPr>
              <w:t>4800</w:t>
            </w:r>
            <w:r>
              <w:rPr>
                <w:rFonts w:ascii="Times New Roman" w:hAnsi="Times New Roman" w:cs="Times New Roman"/>
                <w:kern w:val="0"/>
                <w:sz w:val="18"/>
                <w:szCs w:val="18"/>
              </w:rPr>
              <w:t>平方米。其中包括道地药材标准化种植工程化实验室、药用动物标准化养殖工程化实验室、长白山特色资源保种育种中心、纳米中药工程化中心、公共技术服务中心、中试车间（</w:t>
            </w:r>
            <w:r>
              <w:rPr>
                <w:rFonts w:ascii="Times New Roman" w:hAnsi="Times New Roman" w:cs="Times New Roman"/>
                <w:kern w:val="0"/>
                <w:sz w:val="18"/>
                <w:szCs w:val="18"/>
              </w:rPr>
              <w:t>GMP</w:t>
            </w:r>
            <w:r>
              <w:rPr>
                <w:rFonts w:ascii="Times New Roman" w:hAnsi="Times New Roman" w:cs="Times New Roman"/>
                <w:kern w:val="0"/>
                <w:sz w:val="18"/>
                <w:szCs w:val="18"/>
              </w:rPr>
              <w:t>制剂车间）和商务综合楼。</w:t>
            </w:r>
          </w:p>
        </w:tc>
        <w:tc>
          <w:tcPr>
            <w:tcW w:w="309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建立种植、养殖基地及示范区、土壤环境与药材品质、药效、药材野生驯化、保种、育种实验区等。同时根据研究、试验、工程化、产业化就销售渠道需要在抚松、长春及厦门等地建设实验室、工程化。</w:t>
            </w:r>
          </w:p>
        </w:tc>
        <w:tc>
          <w:tcPr>
            <w:tcW w:w="142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8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2022.5-</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2024.12</w:t>
            </w:r>
          </w:p>
        </w:tc>
        <w:tc>
          <w:tcPr>
            <w:tcW w:w="138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10696</w:t>
            </w:r>
          </w:p>
        </w:tc>
      </w:tr>
    </w:tbl>
    <w:p w:rsidR="00B9739B" w:rsidRDefault="00B9739B">
      <w:pPr>
        <w:rPr>
          <w:rFonts w:ascii="Times New Roman" w:hAnsi="Times New Roman" w:cs="Times New Roman"/>
        </w:rPr>
        <w:sectPr w:rsidR="00B9739B">
          <w:pgSz w:w="16838" w:h="11906" w:orient="landscape"/>
          <w:pgMar w:top="1800" w:right="1440" w:bottom="1800" w:left="1440" w:header="851" w:footer="992" w:gutter="0"/>
          <w:cols w:space="720"/>
          <w:docGrid w:type="lines" w:linePitch="312"/>
        </w:sectPr>
      </w:pPr>
    </w:p>
    <w:p w:rsidR="00B9739B" w:rsidRDefault="00B24D01">
      <w:pPr>
        <w:pStyle w:val="1"/>
        <w:keepNext/>
        <w:keepLines/>
        <w:spacing w:line="413" w:lineRule="auto"/>
        <w:jc w:val="center"/>
        <w:rPr>
          <w:rFonts w:ascii="Times New Roman" w:hAnsi="Times New Roman" w:cs="Times New Roman" w:hint="default"/>
          <w:sz w:val="44"/>
          <w:szCs w:val="44"/>
        </w:rPr>
      </w:pPr>
      <w:bookmarkStart w:id="279" w:name="_Toc14727"/>
      <w:r>
        <w:rPr>
          <w:rFonts w:ascii="Times New Roman" w:hAnsi="Times New Roman" w:cs="Times New Roman" w:hint="default"/>
          <w:sz w:val="44"/>
          <w:szCs w:val="44"/>
        </w:rPr>
        <w:lastRenderedPageBreak/>
        <w:t>附表</w:t>
      </w:r>
      <w:r>
        <w:rPr>
          <w:rFonts w:ascii="Times New Roman" w:hAnsi="Times New Roman" w:cs="Times New Roman" w:hint="default"/>
          <w:sz w:val="44"/>
          <w:szCs w:val="44"/>
        </w:rPr>
        <w:t xml:space="preserve">2  </w:t>
      </w:r>
      <w:r>
        <w:rPr>
          <w:rFonts w:ascii="Times New Roman" w:hAnsi="Times New Roman" w:cs="Times New Roman" w:hint="default"/>
          <w:sz w:val="44"/>
          <w:szCs w:val="44"/>
        </w:rPr>
        <w:t>抚松县生态产业远期重点谋划项目表</w:t>
      </w:r>
      <w:bookmarkEnd w:id="279"/>
    </w:p>
    <w:tbl>
      <w:tblPr>
        <w:tblW w:w="13487" w:type="dxa"/>
        <w:jc w:val="center"/>
        <w:tblLayout w:type="fixed"/>
        <w:tblLook w:val="0000"/>
      </w:tblPr>
      <w:tblGrid>
        <w:gridCol w:w="674"/>
        <w:gridCol w:w="1294"/>
        <w:gridCol w:w="1185"/>
        <w:gridCol w:w="3424"/>
        <w:gridCol w:w="3420"/>
        <w:gridCol w:w="1005"/>
        <w:gridCol w:w="1335"/>
        <w:gridCol w:w="1150"/>
      </w:tblGrid>
      <w:tr w:rsidR="00B9739B">
        <w:trPr>
          <w:trHeight w:val="867"/>
          <w:tblHeader/>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序号</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项目名称</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投资主体</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kern w:val="0"/>
                <w:sz w:val="18"/>
                <w:szCs w:val="18"/>
              </w:rPr>
            </w:pPr>
            <w:r>
              <w:rPr>
                <w:rFonts w:ascii="Times New Roman" w:eastAsia="黑体" w:hAnsi="Times New Roman" w:cs="Times New Roman"/>
                <w:b/>
                <w:bCs/>
                <w:kern w:val="0"/>
                <w:sz w:val="18"/>
                <w:szCs w:val="18"/>
              </w:rPr>
              <w:t>总体建设内容及</w:t>
            </w:r>
          </w:p>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建设规模</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预计经济和社会效益</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建设性质</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eastAsia="黑体" w:hAnsi="Times New Roman" w:cs="Times New Roman"/>
                <w:b/>
                <w:bCs/>
                <w:kern w:val="0"/>
                <w:sz w:val="18"/>
                <w:szCs w:val="18"/>
              </w:rPr>
            </w:pPr>
            <w:r>
              <w:rPr>
                <w:rFonts w:ascii="Times New Roman" w:eastAsia="黑体" w:hAnsi="Times New Roman" w:cs="Times New Roman"/>
                <w:b/>
                <w:bCs/>
                <w:kern w:val="0"/>
                <w:sz w:val="18"/>
                <w:szCs w:val="18"/>
              </w:rPr>
              <w:t>建设年限</w:t>
            </w:r>
          </w:p>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（年月</w:t>
            </w:r>
            <w:r>
              <w:rPr>
                <w:rFonts w:ascii="Times New Roman" w:eastAsia="黑体" w:hAnsi="Times New Roman" w:cs="Times New Roman"/>
                <w:b/>
                <w:bCs/>
                <w:kern w:val="0"/>
                <w:sz w:val="18"/>
                <w:szCs w:val="18"/>
              </w:rPr>
              <w:t>-</w:t>
            </w:r>
            <w:r>
              <w:rPr>
                <w:rFonts w:ascii="Times New Roman" w:eastAsia="黑体" w:hAnsi="Times New Roman" w:cs="Times New Roman"/>
                <w:b/>
                <w:bCs/>
                <w:kern w:val="0"/>
                <w:sz w:val="18"/>
                <w:szCs w:val="18"/>
              </w:rPr>
              <w:t>年月）</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eastAsia="黑体" w:hAnsi="Times New Roman" w:cs="Times New Roman"/>
                <w:b/>
                <w:bCs/>
                <w:kern w:val="0"/>
                <w:sz w:val="18"/>
                <w:szCs w:val="18"/>
              </w:rPr>
            </w:pPr>
            <w:r>
              <w:rPr>
                <w:rFonts w:ascii="Times New Roman" w:eastAsia="黑体" w:hAnsi="Times New Roman" w:cs="Times New Roman"/>
                <w:b/>
                <w:bCs/>
                <w:kern w:val="0"/>
                <w:sz w:val="18"/>
                <w:szCs w:val="18"/>
              </w:rPr>
              <w:t>总投资</w:t>
            </w:r>
          </w:p>
          <w:p w:rsidR="00B9739B" w:rsidRDefault="00B24D01">
            <w:pPr>
              <w:widowControl/>
              <w:jc w:val="center"/>
              <w:textAlignment w:val="center"/>
              <w:rPr>
                <w:rFonts w:ascii="Times New Roman" w:eastAsia="黑体" w:hAnsi="Times New Roman" w:cs="Times New Roman"/>
                <w:b/>
                <w:bCs/>
                <w:sz w:val="18"/>
                <w:szCs w:val="18"/>
              </w:rPr>
            </w:pPr>
            <w:r>
              <w:rPr>
                <w:rFonts w:ascii="Times New Roman" w:eastAsia="黑体" w:hAnsi="Times New Roman" w:cs="Times New Roman"/>
                <w:b/>
                <w:bCs/>
                <w:kern w:val="0"/>
                <w:sz w:val="18"/>
                <w:szCs w:val="18"/>
              </w:rPr>
              <w:t>（万元）</w:t>
            </w:r>
          </w:p>
        </w:tc>
      </w:tr>
      <w:tr w:rsidR="00B9739B">
        <w:trPr>
          <w:trHeight w:val="417"/>
          <w:jc w:val="center"/>
        </w:trPr>
        <w:tc>
          <w:tcPr>
            <w:tcW w:w="3153" w:type="dxa"/>
            <w:gridSpan w:val="3"/>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b/>
                <w:bCs/>
                <w:kern w:val="0"/>
                <w:sz w:val="18"/>
                <w:szCs w:val="18"/>
              </w:rPr>
              <w:t>总计：</w:t>
            </w:r>
            <w:r>
              <w:rPr>
                <w:rFonts w:ascii="Times New Roman" w:hAnsi="Times New Roman" w:cs="Times New Roman"/>
                <w:b/>
                <w:bCs/>
                <w:kern w:val="0"/>
                <w:sz w:val="18"/>
                <w:szCs w:val="18"/>
              </w:rPr>
              <w:t>13</w:t>
            </w:r>
            <w:r>
              <w:rPr>
                <w:rFonts w:ascii="Times New Roman" w:hAnsi="Times New Roman" w:cs="Times New Roman"/>
                <w:b/>
                <w:bCs/>
                <w:kern w:val="0"/>
                <w:sz w:val="18"/>
                <w:szCs w:val="18"/>
              </w:rPr>
              <w:t>项</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left"/>
              <w:textAlignment w:val="center"/>
              <w:rPr>
                <w:rFonts w:ascii="Times New Roman" w:hAnsi="Times New Roman" w:cs="Times New Roman"/>
                <w:kern w:val="0"/>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left"/>
              <w:textAlignment w:val="center"/>
              <w:rPr>
                <w:rFonts w:ascii="Times New Roman" w:hAnsi="Times New Roman" w:cs="Times New Roman"/>
                <w:kern w:val="0"/>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9739B">
            <w:pPr>
              <w:widowControl/>
              <w:jc w:val="center"/>
              <w:textAlignment w:val="center"/>
              <w:rPr>
                <w:rFonts w:ascii="Times New Roman" w:hAnsi="Times New Roman" w:cs="Times New Roman"/>
                <w:kern w:val="0"/>
                <w:sz w:val="18"/>
                <w:szCs w:val="18"/>
              </w:rPr>
            </w:pP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kern w:val="0"/>
                <w:sz w:val="18"/>
                <w:szCs w:val="18"/>
              </w:rPr>
            </w:pPr>
            <w:r>
              <w:rPr>
                <w:rFonts w:ascii="Times New Roman" w:hAnsi="Times New Roman" w:cs="Times New Roman" w:hint="eastAsia"/>
                <w:b/>
                <w:bCs/>
                <w:kern w:val="0"/>
                <w:sz w:val="18"/>
                <w:szCs w:val="18"/>
              </w:rPr>
              <w:t>121</w:t>
            </w:r>
            <w:r>
              <w:rPr>
                <w:rFonts w:ascii="Times New Roman" w:hAnsi="Times New Roman" w:cs="Times New Roman"/>
                <w:b/>
                <w:bCs/>
                <w:kern w:val="0"/>
                <w:sz w:val="18"/>
                <w:szCs w:val="18"/>
              </w:rPr>
              <w:t>3100</w:t>
            </w:r>
          </w:p>
        </w:tc>
      </w:tr>
      <w:tr w:rsidR="00B9739B">
        <w:trPr>
          <w:trHeight w:val="195"/>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万良人参基地仓储物流建设项目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万良镇</w:t>
            </w:r>
          </w:p>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人民政府</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项目总用地面积共计</w:t>
            </w:r>
            <w:r>
              <w:rPr>
                <w:rFonts w:ascii="Times New Roman" w:hAnsi="Times New Roman" w:cs="Times New Roman"/>
                <w:kern w:val="0"/>
                <w:sz w:val="18"/>
                <w:szCs w:val="18"/>
              </w:rPr>
              <w:t>37944</w:t>
            </w:r>
            <w:r>
              <w:rPr>
                <w:rFonts w:ascii="Times New Roman" w:hAnsi="Times New Roman" w:cs="Times New Roman"/>
                <w:kern w:val="0"/>
                <w:sz w:val="18"/>
                <w:szCs w:val="18"/>
              </w:rPr>
              <w:t>㎡，总建筑面积</w:t>
            </w:r>
            <w:r>
              <w:rPr>
                <w:rFonts w:ascii="Times New Roman" w:hAnsi="Times New Roman" w:cs="Times New Roman"/>
                <w:kern w:val="0"/>
                <w:sz w:val="18"/>
                <w:szCs w:val="18"/>
              </w:rPr>
              <w:t>5062</w:t>
            </w:r>
            <w:r>
              <w:rPr>
                <w:rFonts w:ascii="Times New Roman" w:hAnsi="Times New Roman" w:cs="Times New Roman"/>
                <w:kern w:val="0"/>
                <w:sz w:val="18"/>
                <w:szCs w:val="18"/>
              </w:rPr>
              <w:t>㎡，主要建设冷库建筑面积共计</w:t>
            </w:r>
            <w:r>
              <w:rPr>
                <w:rFonts w:ascii="Times New Roman" w:hAnsi="Times New Roman" w:cs="Times New Roman"/>
                <w:kern w:val="0"/>
                <w:sz w:val="18"/>
                <w:szCs w:val="18"/>
              </w:rPr>
              <w:t>9279</w:t>
            </w:r>
            <w:r>
              <w:rPr>
                <w:rFonts w:ascii="Times New Roman" w:hAnsi="Times New Roman" w:cs="Times New Roman"/>
                <w:kern w:val="0"/>
                <w:sz w:val="18"/>
                <w:szCs w:val="18"/>
              </w:rPr>
              <w:t>㎡，电商物流中心建筑面积共计</w:t>
            </w:r>
            <w:r>
              <w:rPr>
                <w:rFonts w:ascii="Times New Roman" w:hAnsi="Times New Roman" w:cs="Times New Roman"/>
                <w:kern w:val="0"/>
                <w:sz w:val="18"/>
                <w:szCs w:val="18"/>
              </w:rPr>
              <w:t>8290</w:t>
            </w:r>
            <w:r>
              <w:rPr>
                <w:rFonts w:ascii="Times New Roman" w:hAnsi="Times New Roman" w:cs="Times New Roman"/>
                <w:kern w:val="0"/>
                <w:sz w:val="18"/>
                <w:szCs w:val="18"/>
              </w:rPr>
              <w:t>㎡，人参工坊建筑面积共计</w:t>
            </w:r>
            <w:r>
              <w:rPr>
                <w:rFonts w:ascii="Times New Roman" w:hAnsi="Times New Roman" w:cs="Times New Roman"/>
                <w:kern w:val="0"/>
                <w:sz w:val="18"/>
                <w:szCs w:val="18"/>
              </w:rPr>
              <w:t>33053</w:t>
            </w:r>
            <w:r>
              <w:rPr>
                <w:rFonts w:ascii="Times New Roman" w:hAnsi="Times New Roman" w:cs="Times New Roman"/>
                <w:kern w:val="0"/>
                <w:sz w:val="18"/>
                <w:szCs w:val="18"/>
              </w:rPr>
              <w:t>㎡，以及园区基础设施工程及相关配套设备等。</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本项目采用租赁方式经营，本项目建设不以盈利为目的，主要体现在社会效益，项目建成后能够促进当地经济的进一步发展就有一定经济效益，能够给周边居民的出行带来方便节省出行时间，并带动农民增收，具有显著社会效益。</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2025.4-</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2027.10</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30100</w:t>
            </w:r>
          </w:p>
        </w:tc>
      </w:tr>
      <w:tr w:rsidR="00B9739B">
        <w:trPr>
          <w:trHeight w:val="2391"/>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sz w:val="18"/>
                <w:szCs w:val="18"/>
              </w:rPr>
              <w:t>华润怡宝矿泉水生产建设项目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sz w:val="18"/>
                <w:szCs w:val="18"/>
              </w:rPr>
              <w:t>华润集团</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sz w:val="18"/>
                <w:szCs w:val="18"/>
              </w:rPr>
              <w:t>项目建设主要包括生产车间、仓库、倒班宿舍、辅助用房、废品库、门卫及污水处理站等单体。拟购置</w:t>
            </w:r>
            <w:r>
              <w:rPr>
                <w:rFonts w:ascii="Times New Roman" w:hAnsi="Times New Roman" w:cs="Times New Roman"/>
                <w:sz w:val="18"/>
                <w:szCs w:val="18"/>
              </w:rPr>
              <w:t>38</w:t>
            </w:r>
            <w:r>
              <w:rPr>
                <w:rFonts w:ascii="Times New Roman" w:hAnsi="Times New Roman" w:cs="Times New Roman"/>
                <w:sz w:val="18"/>
                <w:szCs w:val="18"/>
              </w:rPr>
              <w:t>台水线生产设备，整个生产区计划设计</w:t>
            </w:r>
            <w:r>
              <w:rPr>
                <w:rFonts w:ascii="Times New Roman" w:hAnsi="Times New Roman" w:cs="Times New Roman"/>
                <w:sz w:val="18"/>
                <w:szCs w:val="18"/>
              </w:rPr>
              <w:t>6</w:t>
            </w:r>
            <w:r>
              <w:rPr>
                <w:rFonts w:ascii="Times New Roman" w:hAnsi="Times New Roman" w:cs="Times New Roman"/>
                <w:sz w:val="18"/>
                <w:szCs w:val="18"/>
              </w:rPr>
              <w:t>条生产线，包含</w:t>
            </w:r>
            <w:r>
              <w:rPr>
                <w:rFonts w:ascii="Times New Roman" w:hAnsi="Times New Roman" w:cs="Times New Roman"/>
                <w:sz w:val="18"/>
                <w:szCs w:val="18"/>
              </w:rPr>
              <w:t>4</w:t>
            </w:r>
            <w:r>
              <w:rPr>
                <w:rFonts w:ascii="Times New Roman" w:hAnsi="Times New Roman" w:cs="Times New Roman"/>
                <w:sz w:val="18"/>
                <w:szCs w:val="18"/>
              </w:rPr>
              <w:t>条高速水线，</w:t>
            </w:r>
            <w:r>
              <w:rPr>
                <w:rFonts w:ascii="Times New Roman" w:hAnsi="Times New Roman" w:cs="Times New Roman"/>
                <w:sz w:val="18"/>
                <w:szCs w:val="18"/>
              </w:rPr>
              <w:t>1</w:t>
            </w:r>
            <w:r>
              <w:rPr>
                <w:rFonts w:ascii="Times New Roman" w:hAnsi="Times New Roman" w:cs="Times New Roman"/>
                <w:sz w:val="18"/>
                <w:szCs w:val="18"/>
              </w:rPr>
              <w:t>条</w:t>
            </w:r>
            <w:r>
              <w:rPr>
                <w:rFonts w:ascii="Times New Roman" w:hAnsi="Times New Roman" w:cs="Times New Roman"/>
                <w:sz w:val="18"/>
                <w:szCs w:val="18"/>
              </w:rPr>
              <w:t>4.5/6L</w:t>
            </w:r>
            <w:r>
              <w:rPr>
                <w:rFonts w:ascii="Times New Roman" w:hAnsi="Times New Roman" w:cs="Times New Roman"/>
                <w:sz w:val="18"/>
                <w:szCs w:val="18"/>
              </w:rPr>
              <w:t>水线，</w:t>
            </w:r>
            <w:r>
              <w:rPr>
                <w:rFonts w:ascii="Times New Roman" w:hAnsi="Times New Roman" w:cs="Times New Roman"/>
                <w:sz w:val="18"/>
                <w:szCs w:val="18"/>
              </w:rPr>
              <w:t>1</w:t>
            </w:r>
            <w:r>
              <w:rPr>
                <w:rFonts w:ascii="Times New Roman" w:hAnsi="Times New Roman" w:cs="Times New Roman"/>
                <w:sz w:val="18"/>
                <w:szCs w:val="18"/>
              </w:rPr>
              <w:t>条</w:t>
            </w:r>
            <w:r>
              <w:rPr>
                <w:rFonts w:ascii="Times New Roman" w:hAnsi="Times New Roman" w:cs="Times New Roman"/>
                <w:sz w:val="18"/>
                <w:szCs w:val="18"/>
              </w:rPr>
              <w:t>12.8L</w:t>
            </w:r>
            <w:r>
              <w:rPr>
                <w:rFonts w:ascii="Times New Roman" w:hAnsi="Times New Roman" w:cs="Times New Roman"/>
                <w:sz w:val="18"/>
                <w:szCs w:val="18"/>
              </w:rPr>
              <w:t>水线；计划设有</w:t>
            </w:r>
            <w:r>
              <w:rPr>
                <w:rFonts w:ascii="Times New Roman" w:hAnsi="Times New Roman" w:cs="Times New Roman"/>
                <w:sz w:val="18"/>
                <w:szCs w:val="18"/>
              </w:rPr>
              <w:t>6</w:t>
            </w:r>
            <w:r>
              <w:rPr>
                <w:rFonts w:ascii="Times New Roman" w:hAnsi="Times New Roman" w:cs="Times New Roman"/>
                <w:sz w:val="18"/>
                <w:szCs w:val="18"/>
              </w:rPr>
              <w:t>条瓶胚注塑线。项目建成后年产能约</w:t>
            </w:r>
            <w:r>
              <w:rPr>
                <w:rFonts w:ascii="Times New Roman" w:hAnsi="Times New Roman" w:cs="Times New Roman"/>
                <w:sz w:val="18"/>
                <w:szCs w:val="18"/>
              </w:rPr>
              <w:t>100</w:t>
            </w:r>
            <w:r>
              <w:rPr>
                <w:rFonts w:ascii="Times New Roman" w:hAnsi="Times New Roman" w:cs="Times New Roman"/>
                <w:sz w:val="18"/>
                <w:szCs w:val="18"/>
              </w:rPr>
              <w:t>万吨。</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sz w:val="18"/>
                <w:szCs w:val="18"/>
              </w:rPr>
            </w:pPr>
            <w:r>
              <w:rPr>
                <w:rFonts w:ascii="Times New Roman" w:hAnsi="Times New Roman" w:cs="Times New Roman"/>
                <w:kern w:val="0"/>
                <w:sz w:val="18"/>
                <w:szCs w:val="18"/>
              </w:rPr>
              <w:t>项目投产后，年创产值</w:t>
            </w:r>
            <w:r>
              <w:rPr>
                <w:rFonts w:ascii="Times New Roman" w:hAnsi="Times New Roman" w:cs="Times New Roman"/>
                <w:kern w:val="0"/>
                <w:sz w:val="18"/>
                <w:szCs w:val="18"/>
              </w:rPr>
              <w:t>250000</w:t>
            </w:r>
            <w:r>
              <w:rPr>
                <w:rFonts w:ascii="Times New Roman" w:hAnsi="Times New Roman" w:cs="Times New Roman"/>
                <w:kern w:val="0"/>
                <w:sz w:val="18"/>
                <w:szCs w:val="18"/>
              </w:rPr>
              <w:t>万元，正常年均净利润</w:t>
            </w:r>
            <w:r>
              <w:rPr>
                <w:rFonts w:ascii="Times New Roman" w:hAnsi="Times New Roman" w:cs="Times New Roman"/>
                <w:kern w:val="0"/>
                <w:sz w:val="18"/>
                <w:szCs w:val="18"/>
              </w:rPr>
              <w:t>20000</w:t>
            </w:r>
            <w:r>
              <w:rPr>
                <w:rFonts w:ascii="Times New Roman" w:hAnsi="Times New Roman" w:cs="Times New Roman"/>
                <w:kern w:val="0"/>
                <w:sz w:val="18"/>
                <w:szCs w:val="18"/>
              </w:rPr>
              <w:t>万元，年税金及附加</w:t>
            </w:r>
            <w:r>
              <w:rPr>
                <w:rFonts w:ascii="Times New Roman" w:hAnsi="Times New Roman" w:cs="Times New Roman"/>
                <w:kern w:val="0"/>
                <w:sz w:val="18"/>
                <w:szCs w:val="18"/>
              </w:rPr>
              <w:t>10000</w:t>
            </w:r>
            <w:r>
              <w:rPr>
                <w:rFonts w:ascii="Times New Roman" w:hAnsi="Times New Roman" w:cs="Times New Roman"/>
                <w:kern w:val="0"/>
                <w:sz w:val="18"/>
                <w:szCs w:val="18"/>
              </w:rPr>
              <w:t>万元。带动就业</w:t>
            </w:r>
            <w:r>
              <w:rPr>
                <w:rFonts w:ascii="Times New Roman" w:hAnsi="Times New Roman" w:cs="Times New Roman"/>
                <w:kern w:val="0"/>
                <w:sz w:val="18"/>
                <w:szCs w:val="18"/>
              </w:rPr>
              <w:t>400</w:t>
            </w:r>
            <w:r>
              <w:rPr>
                <w:rFonts w:ascii="Times New Roman" w:hAnsi="Times New Roman" w:cs="Times New Roman"/>
                <w:kern w:val="0"/>
                <w:sz w:val="18"/>
                <w:szCs w:val="18"/>
              </w:rPr>
              <w:t>人。</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2026.7-</w:t>
            </w:r>
          </w:p>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2027.12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18"/>
                <w:szCs w:val="18"/>
              </w:rPr>
            </w:pPr>
            <w:r>
              <w:rPr>
                <w:rFonts w:ascii="Times New Roman" w:hAnsi="Times New Roman" w:cs="Times New Roman"/>
                <w:kern w:val="0"/>
                <w:sz w:val="18"/>
                <w:szCs w:val="18"/>
              </w:rPr>
              <w:t>100000</w:t>
            </w:r>
          </w:p>
        </w:tc>
      </w:tr>
      <w:tr w:rsidR="00B9739B">
        <w:trPr>
          <w:trHeight w:val="2112"/>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lastRenderedPageBreak/>
              <w:t>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人参全链条产业开发建设项目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国药集团</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按照全链条开发模式，进一步稳一产、提二产、优三产，专注产品创新、品牌塑造，深度开发人参药用价值、食用价值、保健价值，加快精深产品加工成果转化，推动人参在食品、药品、保健品、化妆品、生物制品等领域的多元化开发利用。</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通过全链条开发模式，做大做强抚松县人参产业，力争投产后全产业链综合产值突破</w:t>
            </w:r>
            <w:r>
              <w:rPr>
                <w:rFonts w:ascii="Times New Roman" w:hAnsi="Times New Roman" w:cs="Times New Roman"/>
                <w:kern w:val="0"/>
                <w:sz w:val="18"/>
                <w:szCs w:val="18"/>
              </w:rPr>
              <w:t>500</w:t>
            </w:r>
            <w:r>
              <w:rPr>
                <w:rFonts w:ascii="Times New Roman" w:hAnsi="Times New Roman" w:cs="Times New Roman"/>
                <w:kern w:val="0"/>
                <w:sz w:val="18"/>
                <w:szCs w:val="18"/>
              </w:rPr>
              <w:t>亿。</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2030.12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400000</w:t>
            </w:r>
          </w:p>
        </w:tc>
      </w:tr>
      <w:tr w:rsidR="00B9739B">
        <w:trPr>
          <w:trHeight w:val="253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抚松工业园区绿色生态有机食品加工基地电子商务建设项目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吉林抚松经济开发区</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建设农产品电商中心，物流基地，深加工车间，打造集绿色生态有机食品批发零售展销、加工配送、电商线上线下交易、冷链仓储、物流运输、质量检测、金融服务、商业配套于一体的大型现代化、信息化电子商务服务平台。</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项目投产后，年创收</w:t>
            </w:r>
            <w:r>
              <w:rPr>
                <w:rFonts w:ascii="Times New Roman" w:hAnsi="Times New Roman" w:cs="Times New Roman"/>
                <w:kern w:val="0"/>
                <w:sz w:val="18"/>
                <w:szCs w:val="18"/>
              </w:rPr>
              <w:t>20000</w:t>
            </w:r>
            <w:r>
              <w:rPr>
                <w:rFonts w:ascii="Times New Roman" w:hAnsi="Times New Roman" w:cs="Times New Roman"/>
                <w:kern w:val="0"/>
                <w:sz w:val="18"/>
                <w:szCs w:val="18"/>
              </w:rPr>
              <w:t>元，上缴税金</w:t>
            </w:r>
            <w:r>
              <w:rPr>
                <w:rFonts w:ascii="Times New Roman" w:hAnsi="Times New Roman" w:cs="Times New Roman"/>
                <w:kern w:val="0"/>
                <w:sz w:val="18"/>
                <w:szCs w:val="18"/>
              </w:rPr>
              <w:t>3000</w:t>
            </w:r>
            <w:r>
              <w:rPr>
                <w:rFonts w:ascii="Times New Roman" w:hAnsi="Times New Roman" w:cs="Times New Roman"/>
                <w:kern w:val="0"/>
                <w:sz w:val="18"/>
                <w:szCs w:val="18"/>
              </w:rPr>
              <w:t>万元。</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2025.5-</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2026.12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30000</w:t>
            </w:r>
          </w:p>
        </w:tc>
      </w:tr>
      <w:tr w:rsidR="00B9739B">
        <w:trPr>
          <w:trHeight w:val="1488"/>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抚松县梅花鹿生态养殖及鹿副产品精深加工项目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项目一期主要是鹿园基础建设，计划完成</w:t>
            </w:r>
            <w:r>
              <w:rPr>
                <w:rFonts w:ascii="Times New Roman" w:hAnsi="Times New Roman" w:cs="Times New Roman"/>
                <w:kern w:val="0"/>
                <w:sz w:val="18"/>
                <w:szCs w:val="18"/>
              </w:rPr>
              <w:t>1000</w:t>
            </w:r>
            <w:r>
              <w:rPr>
                <w:rFonts w:ascii="Times New Roman" w:hAnsi="Times New Roman" w:cs="Times New Roman"/>
                <w:kern w:val="0"/>
                <w:sz w:val="18"/>
                <w:szCs w:val="18"/>
              </w:rPr>
              <w:t>头梅花鹿试养；二期建设扩大梅花鹿养殖规模达到</w:t>
            </w:r>
            <w:r>
              <w:rPr>
                <w:rFonts w:ascii="Times New Roman" w:hAnsi="Times New Roman" w:cs="Times New Roman"/>
                <w:kern w:val="0"/>
                <w:sz w:val="18"/>
                <w:szCs w:val="18"/>
              </w:rPr>
              <w:t>3000</w:t>
            </w:r>
            <w:r>
              <w:rPr>
                <w:rFonts w:ascii="Times New Roman" w:hAnsi="Times New Roman" w:cs="Times New Roman"/>
                <w:kern w:val="0"/>
                <w:sz w:val="18"/>
                <w:szCs w:val="18"/>
              </w:rPr>
              <w:t>头，同时建设鹿副产品精深加工产业链项目，形成完整的生产能力；三期建设增加梅花鹿养殖</w:t>
            </w:r>
            <w:r>
              <w:rPr>
                <w:rFonts w:ascii="Times New Roman" w:hAnsi="Times New Roman" w:cs="Times New Roman"/>
                <w:kern w:val="0"/>
                <w:sz w:val="18"/>
                <w:szCs w:val="18"/>
              </w:rPr>
              <w:t>2000</w:t>
            </w:r>
            <w:r>
              <w:rPr>
                <w:rFonts w:ascii="Times New Roman" w:hAnsi="Times New Roman" w:cs="Times New Roman"/>
                <w:kern w:val="0"/>
                <w:sz w:val="18"/>
                <w:szCs w:val="18"/>
              </w:rPr>
              <w:t>头，实现整体鹿园达到存栏养殖</w:t>
            </w:r>
            <w:r>
              <w:rPr>
                <w:rFonts w:ascii="Times New Roman" w:hAnsi="Times New Roman" w:cs="Times New Roman"/>
                <w:kern w:val="0"/>
                <w:sz w:val="18"/>
                <w:szCs w:val="18"/>
              </w:rPr>
              <w:t>6000</w:t>
            </w:r>
            <w:r>
              <w:rPr>
                <w:rFonts w:ascii="Times New Roman" w:hAnsi="Times New Roman" w:cs="Times New Roman"/>
                <w:kern w:val="0"/>
                <w:sz w:val="18"/>
                <w:szCs w:val="18"/>
              </w:rPr>
              <w:t>头以上，实现公司</w:t>
            </w:r>
            <w:r>
              <w:rPr>
                <w:rFonts w:ascii="Times New Roman" w:hAnsi="Times New Roman" w:cs="Times New Roman"/>
                <w:kern w:val="0"/>
                <w:sz w:val="18"/>
                <w:szCs w:val="18"/>
              </w:rPr>
              <w:t>+</w:t>
            </w:r>
            <w:r>
              <w:rPr>
                <w:rFonts w:ascii="Times New Roman" w:hAnsi="Times New Roman" w:cs="Times New Roman"/>
                <w:kern w:val="0"/>
                <w:sz w:val="18"/>
                <w:szCs w:val="18"/>
              </w:rPr>
              <w:t>农户</w:t>
            </w:r>
            <w:r>
              <w:rPr>
                <w:rFonts w:ascii="Times New Roman" w:hAnsi="Times New Roman" w:cs="Times New Roman"/>
                <w:kern w:val="0"/>
                <w:sz w:val="18"/>
                <w:szCs w:val="18"/>
              </w:rPr>
              <w:t>+</w:t>
            </w:r>
            <w:r>
              <w:rPr>
                <w:rFonts w:ascii="Times New Roman" w:hAnsi="Times New Roman" w:cs="Times New Roman"/>
                <w:kern w:val="0"/>
                <w:sz w:val="18"/>
                <w:szCs w:val="18"/>
              </w:rPr>
              <w:t>合作社养殖。</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利用梅花鹿循环经济有，整个项目集驯养、生产加工，康养文旅系列一体化，从多方面助推抚松经济高质量发展。</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2026.4-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2029.10</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20000</w:t>
            </w:r>
          </w:p>
        </w:tc>
      </w:tr>
      <w:tr w:rsidR="00B9739B">
        <w:trPr>
          <w:trHeight w:val="1488"/>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lastRenderedPageBreak/>
              <w:t>6</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长白山浅层地热能开发利用建设项目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利用地热水开发利用回灌技术，为约</w:t>
            </w:r>
            <w:r>
              <w:rPr>
                <w:rFonts w:ascii="Times New Roman" w:hAnsi="Times New Roman" w:cs="Times New Roman"/>
                <w:kern w:val="0"/>
                <w:sz w:val="18"/>
                <w:szCs w:val="18"/>
              </w:rPr>
              <w:t>20</w:t>
            </w:r>
            <w:r>
              <w:rPr>
                <w:rFonts w:ascii="Times New Roman" w:hAnsi="Times New Roman" w:cs="Times New Roman"/>
                <w:kern w:val="0"/>
                <w:sz w:val="18"/>
                <w:szCs w:val="18"/>
              </w:rPr>
              <w:t>万平方米居民建筑及</w:t>
            </w:r>
            <w:r>
              <w:rPr>
                <w:rFonts w:ascii="Times New Roman" w:hAnsi="Times New Roman" w:cs="Times New Roman"/>
                <w:kern w:val="0"/>
                <w:sz w:val="18"/>
                <w:szCs w:val="18"/>
              </w:rPr>
              <w:t>10</w:t>
            </w:r>
            <w:r>
              <w:rPr>
                <w:rFonts w:ascii="Times New Roman" w:hAnsi="Times New Roman" w:cs="Times New Roman"/>
                <w:kern w:val="0"/>
                <w:sz w:val="18"/>
                <w:szCs w:val="18"/>
              </w:rPr>
              <w:t>万平方米农业温室提供清洁取暖。</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通过地热水资源减少煤炭使用量，计划每年替代燃煤</w:t>
            </w:r>
            <w:r>
              <w:rPr>
                <w:rFonts w:ascii="Times New Roman" w:hAnsi="Times New Roman" w:cs="Times New Roman"/>
                <w:kern w:val="0"/>
                <w:sz w:val="18"/>
                <w:szCs w:val="18"/>
              </w:rPr>
              <w:t>3000</w:t>
            </w:r>
            <w:r>
              <w:rPr>
                <w:rFonts w:ascii="Times New Roman" w:hAnsi="Times New Roman" w:cs="Times New Roman"/>
                <w:kern w:val="0"/>
                <w:sz w:val="18"/>
                <w:szCs w:val="18"/>
              </w:rPr>
              <w:t>吨。</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2027.4-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2030.12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10000</w:t>
            </w:r>
          </w:p>
        </w:tc>
      </w:tr>
      <w:tr w:rsidR="00B9739B">
        <w:trPr>
          <w:trHeight w:val="1488"/>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新能源汽车充电桩基础设施建设项目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拟在松江河镇、新城行政区、抚松镇及全域旅游重要节点乡镇建设充电桩</w:t>
            </w:r>
            <w:r>
              <w:rPr>
                <w:rFonts w:ascii="Times New Roman" w:hAnsi="Times New Roman" w:cs="Times New Roman"/>
                <w:kern w:val="0"/>
                <w:sz w:val="18"/>
                <w:szCs w:val="18"/>
              </w:rPr>
              <w:t>1000</w:t>
            </w:r>
            <w:r>
              <w:rPr>
                <w:rFonts w:ascii="Times New Roman" w:hAnsi="Times New Roman" w:cs="Times New Roman"/>
                <w:kern w:val="0"/>
                <w:sz w:val="18"/>
                <w:szCs w:val="18"/>
              </w:rPr>
              <w:t>个，并配有充电站标识系统、配套视频监控系统、充电站智能运营平台、消防设施等。</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项目投产后通过充电可通过充电获得盈利性收入。</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2025.5-</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2028.10</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9000</w:t>
            </w:r>
          </w:p>
        </w:tc>
      </w:tr>
      <w:tr w:rsidR="00B9739B">
        <w:trPr>
          <w:trHeight w:val="1560"/>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抚松县坚果加工园区建设项目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项目总用地面积</w:t>
            </w:r>
            <w:r>
              <w:rPr>
                <w:rFonts w:ascii="Times New Roman" w:hAnsi="Times New Roman" w:cs="Times New Roman"/>
                <w:kern w:val="0"/>
                <w:sz w:val="18"/>
                <w:szCs w:val="18"/>
              </w:rPr>
              <w:t>73063m</w:t>
            </w:r>
            <w:r>
              <w:rPr>
                <w:rFonts w:ascii="Times New Roman" w:hAnsi="Times New Roman" w:cs="Times New Roman"/>
                <w:kern w:val="0"/>
                <w:sz w:val="18"/>
                <w:szCs w:val="18"/>
              </w:rPr>
              <w:t>。总建筑面积</w:t>
            </w:r>
            <w:r>
              <w:rPr>
                <w:rFonts w:ascii="Times New Roman" w:hAnsi="Times New Roman" w:cs="Times New Roman"/>
                <w:kern w:val="0"/>
                <w:sz w:val="18"/>
                <w:szCs w:val="18"/>
              </w:rPr>
              <w:t>39800</w:t>
            </w:r>
            <w:r>
              <w:rPr>
                <w:rFonts w:ascii="Times New Roman" w:hAnsi="Times New Roman" w:cs="Times New Roman"/>
                <w:kern w:val="0"/>
                <w:sz w:val="18"/>
                <w:szCs w:val="18"/>
              </w:rPr>
              <w:t>㎡。其中括标准化厂房</w:t>
            </w:r>
            <w:r>
              <w:rPr>
                <w:rFonts w:ascii="Times New Roman" w:hAnsi="Times New Roman" w:cs="Times New Roman"/>
                <w:kern w:val="0"/>
                <w:sz w:val="18"/>
                <w:szCs w:val="18"/>
              </w:rPr>
              <w:t>9</w:t>
            </w:r>
            <w:r>
              <w:rPr>
                <w:rFonts w:ascii="Times New Roman" w:hAnsi="Times New Roman" w:cs="Times New Roman"/>
                <w:kern w:val="0"/>
                <w:sz w:val="18"/>
                <w:szCs w:val="18"/>
              </w:rPr>
              <w:t>栋，仓库</w:t>
            </w:r>
            <w:r>
              <w:rPr>
                <w:rFonts w:ascii="Times New Roman" w:hAnsi="Times New Roman" w:cs="Times New Roman"/>
                <w:kern w:val="0"/>
                <w:sz w:val="18"/>
                <w:szCs w:val="18"/>
              </w:rPr>
              <w:t>2</w:t>
            </w:r>
            <w:r>
              <w:rPr>
                <w:rFonts w:ascii="Times New Roman" w:hAnsi="Times New Roman" w:cs="Times New Roman"/>
                <w:kern w:val="0"/>
                <w:sz w:val="18"/>
                <w:szCs w:val="18"/>
              </w:rPr>
              <w:t>栋，综合楼</w:t>
            </w:r>
            <w:r>
              <w:rPr>
                <w:rFonts w:ascii="Times New Roman" w:hAnsi="Times New Roman" w:cs="Times New Roman"/>
                <w:kern w:val="0"/>
                <w:sz w:val="18"/>
                <w:szCs w:val="18"/>
              </w:rPr>
              <w:t>1</w:t>
            </w:r>
            <w:r>
              <w:rPr>
                <w:rFonts w:ascii="Times New Roman" w:hAnsi="Times New Roman" w:cs="Times New Roman"/>
                <w:kern w:val="0"/>
                <w:sz w:val="18"/>
                <w:szCs w:val="18"/>
              </w:rPr>
              <w:t>栋，附属用房</w:t>
            </w:r>
            <w:r>
              <w:rPr>
                <w:rFonts w:ascii="Times New Roman" w:hAnsi="Times New Roman" w:cs="Times New Roman"/>
                <w:kern w:val="0"/>
                <w:sz w:val="18"/>
                <w:szCs w:val="18"/>
              </w:rPr>
              <w:t>2</w:t>
            </w:r>
            <w:r>
              <w:rPr>
                <w:rFonts w:ascii="Times New Roman" w:hAnsi="Times New Roman" w:cs="Times New Roman"/>
                <w:kern w:val="0"/>
                <w:sz w:val="18"/>
                <w:szCs w:val="18"/>
              </w:rPr>
              <w:t>栋。建设园区内给水、排水、电力、通信、供热、园区绿化、场地硬化、道路等基础设施工程。</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项目将带动当地就业，增加当地利税，带动当地经济发展。项目建设还将形成产业集群，拉大产业链条，对项目建设地乃至我国的经济发展起到很大的促进作用。</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2027.12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40000</w:t>
            </w:r>
          </w:p>
        </w:tc>
      </w:tr>
      <w:tr w:rsidR="00B9739B">
        <w:trPr>
          <w:trHeight w:val="1453"/>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抚松县天麻种植及深加工项目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集合资源实现抚松县天麻规模化种植，采用现代化种植技术，提高天麻的产量和质量，按照</w:t>
            </w:r>
            <w:r>
              <w:rPr>
                <w:rFonts w:ascii="Times New Roman" w:hAnsi="Times New Roman" w:cs="Times New Roman"/>
                <w:kern w:val="0"/>
                <w:sz w:val="18"/>
                <w:szCs w:val="18"/>
              </w:rPr>
              <w:t>GMP</w:t>
            </w:r>
            <w:r>
              <w:rPr>
                <w:rFonts w:ascii="Times New Roman" w:hAnsi="Times New Roman" w:cs="Times New Roman"/>
                <w:kern w:val="0"/>
                <w:sz w:val="18"/>
                <w:szCs w:val="18"/>
              </w:rPr>
              <w:t>认证体系的标准建立天麻纳米中药材加工厂，引进国际最先进的纳米技术生产中成药，主要生产片剂、胶囊剂、颗粒剂、喷雾剂、滴丸剂等。</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项目投产后，年销售收入约</w:t>
            </w:r>
            <w:r>
              <w:rPr>
                <w:rFonts w:ascii="Times New Roman" w:hAnsi="Times New Roman" w:cs="Times New Roman"/>
                <w:kern w:val="0"/>
                <w:sz w:val="18"/>
                <w:szCs w:val="18"/>
              </w:rPr>
              <w:t>1500</w:t>
            </w:r>
            <w:r>
              <w:rPr>
                <w:rFonts w:ascii="Times New Roman" w:hAnsi="Times New Roman" w:cs="Times New Roman"/>
                <w:kern w:val="0"/>
                <w:sz w:val="18"/>
                <w:szCs w:val="18"/>
              </w:rPr>
              <w:t>万元，上缴税金</w:t>
            </w:r>
            <w:r>
              <w:rPr>
                <w:rFonts w:ascii="Times New Roman" w:hAnsi="Times New Roman" w:cs="Times New Roman"/>
                <w:kern w:val="0"/>
                <w:sz w:val="18"/>
                <w:szCs w:val="18"/>
              </w:rPr>
              <w:t>260</w:t>
            </w:r>
            <w:r>
              <w:rPr>
                <w:rFonts w:ascii="Times New Roman" w:hAnsi="Times New Roman" w:cs="Times New Roman"/>
                <w:kern w:val="0"/>
                <w:sz w:val="18"/>
                <w:szCs w:val="18"/>
              </w:rPr>
              <w:t>万元。</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2025.6-</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2026.6</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5000</w:t>
            </w:r>
          </w:p>
        </w:tc>
      </w:tr>
      <w:tr w:rsidR="00B9739B">
        <w:trPr>
          <w:trHeight w:val="11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lastRenderedPageBreak/>
              <w:t>10</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长白山地道药材产业园建设项目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中药材行业产业链的上游主要是中药材种植、养殖以及采集行业，下游主要是医药行业、保健品行业。该项目是集中药药品和中药材批发交易、加工制造、物流配送和电子商务功能于一体的现代医药综合产业园项目。</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打造成为国内一流、功能完备、信息畅通、国际知名的现代医药科技产业集群航母；实现社会效益、经济效益和生态环保效益的协调可持续发展。</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2028.12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50000</w:t>
            </w:r>
          </w:p>
        </w:tc>
      </w:tr>
      <w:tr w:rsidR="00B9739B">
        <w:trPr>
          <w:trHeight w:val="11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抚松蓝莓产业园三产融合建设项目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建设蓝莓种植基地，同时在抚松县境内进行蓝莓种苗研发，实现生产、加工、品牌与营销、农旅融合全产业链布局。</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项目的实施将推进抚松现代农业的发展，带动群众增收。</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2027.10</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50000</w:t>
            </w:r>
          </w:p>
        </w:tc>
      </w:tr>
      <w:tr w:rsidR="00B9739B">
        <w:trPr>
          <w:trHeight w:val="11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松花江全域旅游经济带项目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本项目起于宝石村，截止于新安村，项目共计设计松花江水质提升项目、文旅项目等，其中文旅包含码头建设共计建设</w:t>
            </w:r>
            <w:r>
              <w:rPr>
                <w:rFonts w:ascii="Times New Roman" w:hAnsi="Times New Roman" w:cs="Times New Roman"/>
                <w:kern w:val="0"/>
                <w:sz w:val="18"/>
                <w:szCs w:val="18"/>
              </w:rPr>
              <w:t>3</w:t>
            </w:r>
            <w:r>
              <w:rPr>
                <w:rFonts w:ascii="Times New Roman" w:hAnsi="Times New Roman" w:cs="Times New Roman"/>
                <w:kern w:val="0"/>
                <w:sz w:val="18"/>
                <w:szCs w:val="18"/>
              </w:rPr>
              <w:t>个一级码头，</w:t>
            </w:r>
            <w:r>
              <w:rPr>
                <w:rFonts w:ascii="Times New Roman" w:hAnsi="Times New Roman" w:cs="Times New Roman"/>
                <w:kern w:val="0"/>
                <w:sz w:val="18"/>
                <w:szCs w:val="18"/>
              </w:rPr>
              <w:t>2</w:t>
            </w:r>
            <w:r>
              <w:rPr>
                <w:rFonts w:ascii="Times New Roman" w:hAnsi="Times New Roman" w:cs="Times New Roman"/>
                <w:kern w:val="0"/>
                <w:sz w:val="18"/>
                <w:szCs w:val="18"/>
              </w:rPr>
              <w:t>个二级码头，同时结合码头建设开展民宿、餐饮、渤海国记忆等旅游项目建设。</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实现部分项目投入运营，预计招待人数</w:t>
            </w:r>
            <w:r>
              <w:rPr>
                <w:rFonts w:ascii="Times New Roman" w:hAnsi="Times New Roman" w:cs="Times New Roman"/>
                <w:kern w:val="0"/>
                <w:sz w:val="18"/>
                <w:szCs w:val="18"/>
              </w:rPr>
              <w:t>20</w:t>
            </w:r>
            <w:r>
              <w:rPr>
                <w:rFonts w:ascii="Times New Roman" w:hAnsi="Times New Roman" w:cs="Times New Roman"/>
                <w:kern w:val="0"/>
                <w:sz w:val="18"/>
                <w:szCs w:val="18"/>
              </w:rPr>
              <w:t>万人，实现营收</w:t>
            </w:r>
            <w:r>
              <w:rPr>
                <w:rFonts w:ascii="Times New Roman" w:hAnsi="Times New Roman" w:cs="Times New Roman"/>
                <w:kern w:val="0"/>
                <w:sz w:val="18"/>
                <w:szCs w:val="18"/>
              </w:rPr>
              <w:t>5000</w:t>
            </w:r>
            <w:r>
              <w:rPr>
                <w:rFonts w:ascii="Times New Roman" w:hAnsi="Times New Roman" w:cs="Times New Roman"/>
                <w:kern w:val="0"/>
                <w:sz w:val="18"/>
                <w:szCs w:val="18"/>
              </w:rPr>
              <w:t>万，带动就业人数千余人。</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2025.5-</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2028.12</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407000</w:t>
            </w:r>
          </w:p>
        </w:tc>
      </w:tr>
      <w:tr w:rsidR="00B9739B">
        <w:trPr>
          <w:trHeight w:val="1147"/>
          <w:jc w:val="center"/>
        </w:trPr>
        <w:tc>
          <w:tcPr>
            <w:tcW w:w="67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129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抚松县四季冰雪旅游经济开发建设项目</w:t>
            </w:r>
          </w:p>
        </w:tc>
        <w:tc>
          <w:tcPr>
            <w:tcW w:w="118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招商项目</w:t>
            </w:r>
          </w:p>
        </w:tc>
        <w:tc>
          <w:tcPr>
            <w:tcW w:w="3424"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建设内容包括新建抚松冰雪馆</w:t>
            </w:r>
            <w:r>
              <w:rPr>
                <w:rFonts w:ascii="Times New Roman" w:hAnsi="Times New Roman" w:cs="Times New Roman"/>
                <w:kern w:val="0"/>
                <w:sz w:val="18"/>
                <w:szCs w:val="18"/>
              </w:rPr>
              <w:t>(</w:t>
            </w:r>
            <w:r>
              <w:rPr>
                <w:rFonts w:ascii="Times New Roman" w:hAnsi="Times New Roman" w:cs="Times New Roman"/>
                <w:kern w:val="0"/>
                <w:sz w:val="18"/>
                <w:szCs w:val="18"/>
              </w:rPr>
              <w:t>包括室内冰雪主题乐园，儿童娱乐综合体、长白山特色餐饮区）、长白山冰雪秀场（冬季为主题活动场地，夏季可作为多功能展区）、长白山冰雪主题摩天轮及项目园区配套设施，实现冰雪旅游四季常态化运营。</w:t>
            </w:r>
          </w:p>
        </w:tc>
        <w:tc>
          <w:tcPr>
            <w:tcW w:w="3420"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left"/>
              <w:textAlignment w:val="center"/>
              <w:rPr>
                <w:rFonts w:ascii="Times New Roman" w:hAnsi="Times New Roman" w:cs="Times New Roman"/>
                <w:kern w:val="0"/>
                <w:sz w:val="18"/>
                <w:szCs w:val="18"/>
              </w:rPr>
            </w:pPr>
            <w:r>
              <w:rPr>
                <w:rFonts w:ascii="Times New Roman" w:hAnsi="Times New Roman" w:cs="Times New Roman"/>
                <w:kern w:val="0"/>
                <w:sz w:val="18"/>
                <w:szCs w:val="18"/>
              </w:rPr>
              <w:t>计年接待游客</w:t>
            </w:r>
            <w:r>
              <w:rPr>
                <w:rFonts w:ascii="Times New Roman" w:hAnsi="Times New Roman" w:cs="Times New Roman"/>
                <w:kern w:val="0"/>
                <w:sz w:val="18"/>
                <w:szCs w:val="18"/>
              </w:rPr>
              <w:t>100</w:t>
            </w:r>
            <w:r>
              <w:rPr>
                <w:rFonts w:ascii="Times New Roman" w:hAnsi="Times New Roman" w:cs="Times New Roman"/>
                <w:kern w:val="0"/>
                <w:sz w:val="18"/>
                <w:szCs w:val="18"/>
              </w:rPr>
              <w:t>万人次，直接带动就业</w:t>
            </w:r>
            <w:r>
              <w:rPr>
                <w:rFonts w:ascii="Times New Roman" w:hAnsi="Times New Roman" w:cs="Times New Roman"/>
                <w:kern w:val="0"/>
                <w:sz w:val="18"/>
                <w:szCs w:val="18"/>
              </w:rPr>
              <w:t>500</w:t>
            </w:r>
            <w:r>
              <w:rPr>
                <w:rFonts w:ascii="Times New Roman" w:hAnsi="Times New Roman" w:cs="Times New Roman"/>
                <w:kern w:val="0"/>
                <w:sz w:val="18"/>
                <w:szCs w:val="18"/>
              </w:rPr>
              <w:t>余人。</w:t>
            </w:r>
          </w:p>
        </w:tc>
        <w:tc>
          <w:tcPr>
            <w:tcW w:w="100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新建</w:t>
            </w:r>
          </w:p>
        </w:tc>
        <w:tc>
          <w:tcPr>
            <w:tcW w:w="1335" w:type="dxa"/>
            <w:tcBorders>
              <w:top w:val="single" w:sz="4" w:space="0" w:color="auto"/>
              <w:left w:val="single" w:sz="4" w:space="0" w:color="auto"/>
              <w:bottom w:val="single" w:sz="4" w:space="0" w:color="auto"/>
              <w:right w:val="single" w:sz="4" w:space="0" w:color="auto"/>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2025.4-</w:t>
            </w:r>
          </w:p>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2028.10</w:t>
            </w:r>
          </w:p>
        </w:tc>
        <w:tc>
          <w:tcPr>
            <w:tcW w:w="1150" w:type="dxa"/>
            <w:tcBorders>
              <w:top w:val="single" w:sz="4" w:space="0" w:color="000000"/>
              <w:left w:val="single" w:sz="4" w:space="0" w:color="auto"/>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62000</w:t>
            </w:r>
          </w:p>
        </w:tc>
      </w:tr>
    </w:tbl>
    <w:p w:rsidR="00B9739B" w:rsidRDefault="00B24D01">
      <w:pPr>
        <w:jc w:val="center"/>
        <w:outlineLvl w:val="0"/>
        <w:rPr>
          <w:rFonts w:ascii="Times New Roman" w:hAnsi="Times New Roman" w:cs="Times New Roman"/>
          <w:sz w:val="44"/>
          <w:szCs w:val="44"/>
        </w:rPr>
      </w:pPr>
      <w:r>
        <w:rPr>
          <w:rFonts w:ascii="Times New Roman" w:hAnsi="Times New Roman" w:cs="Times New Roman"/>
        </w:rPr>
        <w:br w:type="page"/>
      </w:r>
      <w:bookmarkStart w:id="280" w:name="_Toc17322"/>
      <w:r>
        <w:rPr>
          <w:rFonts w:ascii="Times New Roman" w:hAnsi="Times New Roman" w:cs="Times New Roman"/>
          <w:b/>
          <w:kern w:val="44"/>
          <w:sz w:val="44"/>
          <w:szCs w:val="44"/>
        </w:rPr>
        <w:lastRenderedPageBreak/>
        <w:t>附表</w:t>
      </w:r>
      <w:r>
        <w:rPr>
          <w:rFonts w:ascii="Times New Roman" w:hAnsi="Times New Roman" w:cs="Times New Roman"/>
          <w:b/>
          <w:kern w:val="44"/>
          <w:sz w:val="44"/>
          <w:szCs w:val="44"/>
        </w:rPr>
        <w:t xml:space="preserve">3  </w:t>
      </w:r>
      <w:r>
        <w:rPr>
          <w:rFonts w:ascii="Times New Roman" w:hAnsi="Times New Roman" w:cs="Times New Roman"/>
          <w:b/>
          <w:kern w:val="44"/>
          <w:sz w:val="44"/>
          <w:szCs w:val="44"/>
        </w:rPr>
        <w:t>抚松县生态产品目录清单</w:t>
      </w:r>
      <w:bookmarkEnd w:id="280"/>
    </w:p>
    <w:tbl>
      <w:tblPr>
        <w:tblpPr w:leftFromText="180" w:rightFromText="180" w:vertAnchor="text" w:horzAnchor="page" w:tblpX="1761" w:tblpY="908"/>
        <w:tblOverlap w:val="never"/>
        <w:tblW w:w="13678" w:type="dxa"/>
        <w:tblLayout w:type="fixed"/>
        <w:tblLook w:val="0000"/>
      </w:tblPr>
      <w:tblGrid>
        <w:gridCol w:w="1705"/>
        <w:gridCol w:w="1995"/>
        <w:gridCol w:w="9978"/>
      </w:tblGrid>
      <w:tr w:rsidR="00B9739B">
        <w:trPr>
          <w:trHeight w:val="564"/>
          <w:tblHeader/>
        </w:trPr>
        <w:tc>
          <w:tcPr>
            <w:tcW w:w="170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kern w:val="0"/>
                <w:sz w:val="22"/>
              </w:rPr>
            </w:pPr>
            <w:r>
              <w:rPr>
                <w:rFonts w:ascii="Times New Roman" w:hAnsi="Times New Roman" w:cs="Times New Roman"/>
                <w:b/>
                <w:bCs/>
                <w:kern w:val="0"/>
                <w:sz w:val="22"/>
              </w:rPr>
              <w:t>一级目录</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sz w:val="22"/>
              </w:rPr>
            </w:pPr>
            <w:r>
              <w:rPr>
                <w:rFonts w:ascii="Times New Roman" w:hAnsi="Times New Roman" w:cs="Times New Roman"/>
                <w:b/>
                <w:bCs/>
                <w:kern w:val="0"/>
                <w:sz w:val="22"/>
              </w:rPr>
              <w:t>二级目录</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sz w:val="22"/>
              </w:rPr>
            </w:pPr>
            <w:r>
              <w:rPr>
                <w:rFonts w:ascii="Times New Roman" w:hAnsi="Times New Roman" w:cs="Times New Roman"/>
                <w:b/>
                <w:bCs/>
                <w:kern w:val="0"/>
                <w:sz w:val="22"/>
              </w:rPr>
              <w:t>三级目录</w:t>
            </w:r>
          </w:p>
        </w:tc>
      </w:tr>
      <w:tr w:rsidR="00B9739B">
        <w:trPr>
          <w:trHeight w:val="566"/>
        </w:trPr>
        <w:tc>
          <w:tcPr>
            <w:tcW w:w="1705" w:type="dxa"/>
            <w:vMerge w:val="restart"/>
            <w:tcBorders>
              <w:top w:val="single" w:sz="4" w:space="0" w:color="000000"/>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农业产品</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谷物</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小麦、稻谷、荞麦、红米、玉米、大米等</w:t>
            </w:r>
          </w:p>
        </w:tc>
      </w:tr>
      <w:tr w:rsidR="00B9739B">
        <w:trPr>
          <w:trHeight w:val="566"/>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豆类</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大豆、绿豆、红豆、红小豆、四季豆等</w:t>
            </w:r>
          </w:p>
        </w:tc>
      </w:tr>
      <w:tr w:rsidR="00B9739B">
        <w:trPr>
          <w:trHeight w:val="887"/>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油料</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花生、</w:t>
            </w:r>
            <w:r w:rsidR="008A4D01">
              <w:rPr>
                <w:rFonts w:ascii="Times New Roman" w:hAnsi="Times New Roman" w:cs="Times New Roman"/>
                <w:kern w:val="0"/>
                <w:sz w:val="22"/>
              </w:rPr>
              <w:t>松子</w:t>
            </w:r>
            <w:r>
              <w:rPr>
                <w:rFonts w:ascii="Times New Roman" w:hAnsi="Times New Roman" w:cs="Times New Roman"/>
                <w:kern w:val="0"/>
                <w:sz w:val="22"/>
              </w:rPr>
              <w:t>、花椒籽、芝麻、油桐籽、桐籽、麻籽、油葵籽、核桃仁、油茶、牡丹籽油、葵花籽、油用牡丹等</w:t>
            </w:r>
          </w:p>
        </w:tc>
      </w:tr>
      <w:tr w:rsidR="00B9739B">
        <w:trPr>
          <w:trHeight w:val="90"/>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药材</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sz w:val="22"/>
              </w:rPr>
              <w:t>天麻、贝母、龙胆草、细辛、甘草、红景天、蒲公英、山地瓜、白鲜皮、高丽瓜、威灵仙、穿龙骨、返魂草、防风、沙参、玉竹、冰球子、桔梗、板蓝根、五味子、艾蒿、苍术、黄精、灵芝、人参、西洋参、党参、艾草、淫羊藿、白芷、鹿茸、黄芪、天南星、柴胡、百合、黄连、芍药、</w:t>
            </w:r>
            <w:r w:rsidR="008A4D01">
              <w:rPr>
                <w:rFonts w:ascii="Times New Roman" w:hAnsi="Times New Roman" w:cs="Times New Roman"/>
                <w:sz w:val="22"/>
              </w:rPr>
              <w:t>马齿苋</w:t>
            </w:r>
            <w:r>
              <w:rPr>
                <w:rFonts w:ascii="Times New Roman" w:hAnsi="Times New Roman" w:cs="Times New Roman"/>
                <w:sz w:val="22"/>
              </w:rPr>
              <w:t>、车前草、苍耳、野生山药等</w:t>
            </w:r>
          </w:p>
        </w:tc>
      </w:tr>
      <w:tr w:rsidR="00B9739B">
        <w:trPr>
          <w:trHeight w:val="1188"/>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蔬菜</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白菜、菠菜、油菜、卷心菜、韭菜、香菜、香椿、萝卜、土豆、甘蓝、芥菜、胡萝卜、番茄、茄子、辣椒、黄瓜、西葫芦、南瓜、冬瓜、丝瓜、苦瓜、大葱、洋葱、大蒜、茼蒿、油麦菜、菜花、西蓝花、生菜、芹菜、豆角、豇豆、葱、白萝卜、红薯、紫薯、小白菜、西红柿、红萝卜、蒜苗、葫芦等</w:t>
            </w:r>
          </w:p>
        </w:tc>
      </w:tr>
      <w:tr w:rsidR="00B9739B">
        <w:trPr>
          <w:trHeight w:val="622"/>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水果</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梨、桃、柿子、葡萄、苹果、杏、草莓、沙果、西瓜、甜瓜、李子等</w:t>
            </w:r>
          </w:p>
        </w:tc>
      </w:tr>
      <w:tr w:rsidR="00B9739B">
        <w:trPr>
          <w:trHeight w:val="622"/>
        </w:trPr>
        <w:tc>
          <w:tcPr>
            <w:tcW w:w="1705" w:type="dxa"/>
            <w:vMerge/>
            <w:tcBorders>
              <w:left w:val="single" w:sz="4" w:space="0" w:color="000000"/>
              <w:bottom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茶叶</w:t>
            </w:r>
            <w:r>
              <w:rPr>
                <w:rFonts w:ascii="Times New Roman" w:hAnsi="Times New Roman" w:cs="Times New Roman"/>
                <w:kern w:val="0"/>
                <w:sz w:val="22"/>
              </w:rPr>
              <w:t>/</w:t>
            </w:r>
            <w:r>
              <w:rPr>
                <w:rFonts w:ascii="Times New Roman" w:hAnsi="Times New Roman" w:cs="Times New Roman"/>
                <w:kern w:val="0"/>
                <w:sz w:val="22"/>
              </w:rPr>
              <w:t>代茶</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金丝皇菊、胎菊、玫瑰花茶、蒲公英根等</w:t>
            </w:r>
          </w:p>
        </w:tc>
      </w:tr>
      <w:tr w:rsidR="00B9739B">
        <w:trPr>
          <w:trHeight w:val="611"/>
        </w:trPr>
        <w:tc>
          <w:tcPr>
            <w:tcW w:w="1705" w:type="dxa"/>
            <w:tcBorders>
              <w:top w:val="single" w:sz="4" w:space="0" w:color="000000"/>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kern w:val="0"/>
                <w:sz w:val="22"/>
              </w:rPr>
            </w:pPr>
            <w:r>
              <w:rPr>
                <w:rFonts w:ascii="Times New Roman" w:hAnsi="Times New Roman" w:cs="Times New Roman"/>
                <w:b/>
                <w:bCs/>
                <w:kern w:val="0"/>
                <w:sz w:val="22"/>
              </w:rPr>
              <w:lastRenderedPageBreak/>
              <w:t>一级目录</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sz w:val="22"/>
              </w:rPr>
            </w:pPr>
            <w:r>
              <w:rPr>
                <w:rFonts w:ascii="Times New Roman" w:hAnsi="Times New Roman" w:cs="Times New Roman"/>
                <w:b/>
                <w:bCs/>
                <w:kern w:val="0"/>
                <w:sz w:val="22"/>
              </w:rPr>
              <w:t>二级目录</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b/>
                <w:bCs/>
                <w:sz w:val="22"/>
              </w:rPr>
            </w:pPr>
            <w:r>
              <w:rPr>
                <w:rFonts w:ascii="Times New Roman" w:hAnsi="Times New Roman" w:cs="Times New Roman"/>
                <w:b/>
                <w:bCs/>
                <w:kern w:val="0"/>
                <w:sz w:val="22"/>
              </w:rPr>
              <w:t>三级目录</w:t>
            </w:r>
          </w:p>
        </w:tc>
      </w:tr>
      <w:tr w:rsidR="00B9739B">
        <w:trPr>
          <w:trHeight w:val="701"/>
        </w:trPr>
        <w:tc>
          <w:tcPr>
            <w:tcW w:w="1705" w:type="dxa"/>
            <w:vMerge w:val="restart"/>
            <w:tcBorders>
              <w:top w:val="single" w:sz="4" w:space="0" w:color="000000"/>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农业产品</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食用菌</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香菇、蘑菇、木耳、羊肚菌、海鲜菇、金耳、银耳、平菇、金针菇、灵芝、草菇、双孢菇、白灵菇、真姬菇、白玉菇、杏鲍菇、蟹味菇等</w:t>
            </w:r>
          </w:p>
        </w:tc>
      </w:tr>
      <w:tr w:rsidR="00B9739B">
        <w:trPr>
          <w:trHeight w:val="516"/>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食用坚果</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核桃、板栗、松子、榛子、</w:t>
            </w:r>
            <w:r w:rsidR="008A4D01">
              <w:rPr>
                <w:rFonts w:ascii="Times New Roman" w:hAnsi="Times New Roman" w:cs="Times New Roman"/>
                <w:kern w:val="0"/>
                <w:sz w:val="22"/>
              </w:rPr>
              <w:t>松子</w:t>
            </w:r>
            <w:r>
              <w:rPr>
                <w:rFonts w:ascii="Times New Roman" w:hAnsi="Times New Roman" w:cs="Times New Roman"/>
                <w:kern w:val="0"/>
                <w:sz w:val="22"/>
              </w:rPr>
              <w:t>、葵花籽等</w:t>
            </w:r>
          </w:p>
        </w:tc>
      </w:tr>
      <w:tr w:rsidR="00B9739B">
        <w:trPr>
          <w:trHeight w:val="476"/>
        </w:trPr>
        <w:tc>
          <w:tcPr>
            <w:tcW w:w="1705" w:type="dxa"/>
            <w:vMerge/>
            <w:tcBorders>
              <w:left w:val="single" w:sz="4" w:space="0" w:color="000000"/>
              <w:bottom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食用浆果</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kern w:val="0"/>
                <w:sz w:val="22"/>
              </w:rPr>
            </w:pPr>
            <w:r>
              <w:rPr>
                <w:rFonts w:ascii="Times New Roman" w:hAnsi="Times New Roman" w:cs="Times New Roman"/>
                <w:kern w:val="0"/>
                <w:sz w:val="22"/>
              </w:rPr>
              <w:t>蓝莓、软枣猕猴桃、山葡萄、五味子等</w:t>
            </w:r>
          </w:p>
        </w:tc>
      </w:tr>
      <w:tr w:rsidR="00B9739B">
        <w:trPr>
          <w:trHeight w:val="444"/>
        </w:trPr>
        <w:tc>
          <w:tcPr>
            <w:tcW w:w="1705" w:type="dxa"/>
            <w:vMerge w:val="restart"/>
            <w:tcBorders>
              <w:top w:val="single" w:sz="4" w:space="0" w:color="000000"/>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林业产品</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木材</w:t>
            </w:r>
            <w:r>
              <w:rPr>
                <w:rFonts w:ascii="Times New Roman" w:hAnsi="Times New Roman" w:cs="Times New Roman"/>
                <w:kern w:val="0"/>
                <w:sz w:val="22"/>
              </w:rPr>
              <w:t>/</w:t>
            </w:r>
            <w:r>
              <w:rPr>
                <w:rFonts w:ascii="Times New Roman" w:hAnsi="Times New Roman" w:cs="Times New Roman"/>
                <w:kern w:val="0"/>
                <w:sz w:val="22"/>
              </w:rPr>
              <w:t>林产品</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木材、竹子、苗木、红豆杉、槐树、柳树、水曲柳、杨树等</w:t>
            </w:r>
          </w:p>
        </w:tc>
      </w:tr>
      <w:tr w:rsidR="00B9739B">
        <w:trPr>
          <w:trHeight w:val="456"/>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园艺</w:t>
            </w:r>
            <w:r>
              <w:rPr>
                <w:rFonts w:ascii="Times New Roman" w:hAnsi="Times New Roman" w:cs="Times New Roman"/>
                <w:kern w:val="0"/>
                <w:sz w:val="22"/>
              </w:rPr>
              <w:t>/</w:t>
            </w:r>
            <w:r>
              <w:rPr>
                <w:rFonts w:ascii="Times New Roman" w:hAnsi="Times New Roman" w:cs="Times New Roman"/>
                <w:kern w:val="0"/>
                <w:sz w:val="22"/>
              </w:rPr>
              <w:t>花卉</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牡丹花茶、牡丹籽油、花卉、盆栽类园艺等</w:t>
            </w:r>
          </w:p>
        </w:tc>
      </w:tr>
      <w:tr w:rsidR="00B9739B">
        <w:trPr>
          <w:trHeight w:val="471"/>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人参</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园参、西洋参、林下参等</w:t>
            </w:r>
          </w:p>
        </w:tc>
      </w:tr>
      <w:tr w:rsidR="00B9739B">
        <w:trPr>
          <w:trHeight w:val="461"/>
        </w:trPr>
        <w:tc>
          <w:tcPr>
            <w:tcW w:w="1705" w:type="dxa"/>
            <w:vMerge/>
            <w:tcBorders>
              <w:left w:val="single" w:sz="4" w:space="0" w:color="000000"/>
              <w:bottom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山野菜</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蕨菜、猴腿、猫爪子、大叶芹、刺嫩芽、刺五加、柳蒿芽等</w:t>
            </w:r>
          </w:p>
        </w:tc>
      </w:tr>
      <w:tr w:rsidR="00B9739B">
        <w:trPr>
          <w:trHeight w:val="532"/>
        </w:trPr>
        <w:tc>
          <w:tcPr>
            <w:tcW w:w="1705" w:type="dxa"/>
            <w:vMerge w:val="restart"/>
            <w:tcBorders>
              <w:top w:val="single" w:sz="4" w:space="0" w:color="000000"/>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畜牧产品</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畜禽产品</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猪肉、牛肉、羊肉、禽肉、兔肉、驴肉、鹿肉、鹿茸、鹅、雉鸡、黑猪、肉鸡等</w:t>
            </w:r>
          </w:p>
        </w:tc>
      </w:tr>
      <w:tr w:rsidR="00B9739B">
        <w:trPr>
          <w:trHeight w:val="471"/>
        </w:trPr>
        <w:tc>
          <w:tcPr>
            <w:tcW w:w="1705" w:type="dxa"/>
            <w:vMerge/>
            <w:tcBorders>
              <w:left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蜂产品</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蜂蜜、蜂蜡、蜂花粉、蜂蜜酒、蜂王浆、蜂胶、蜂蛹等</w:t>
            </w:r>
          </w:p>
        </w:tc>
      </w:tr>
      <w:tr w:rsidR="00B9739B">
        <w:trPr>
          <w:trHeight w:val="548"/>
        </w:trPr>
        <w:tc>
          <w:tcPr>
            <w:tcW w:w="1705" w:type="dxa"/>
            <w:vMerge/>
            <w:tcBorders>
              <w:left w:val="single" w:sz="4" w:space="0" w:color="000000"/>
              <w:bottom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禽蛋</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鸡蛋、鸭蛋、鹅蛋等</w:t>
            </w:r>
          </w:p>
        </w:tc>
      </w:tr>
      <w:tr w:rsidR="00B9739B">
        <w:trPr>
          <w:trHeight w:val="529"/>
        </w:trPr>
        <w:tc>
          <w:tcPr>
            <w:tcW w:w="1705" w:type="dxa"/>
            <w:vMerge w:val="restart"/>
            <w:tcBorders>
              <w:top w:val="single" w:sz="4" w:space="0" w:color="000000"/>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能源产品</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生态系统总碳储量</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土壤有机碳、植被碳等</w:t>
            </w:r>
          </w:p>
        </w:tc>
      </w:tr>
      <w:tr w:rsidR="00B9739B">
        <w:trPr>
          <w:trHeight w:val="529"/>
        </w:trPr>
        <w:tc>
          <w:tcPr>
            <w:tcW w:w="1705" w:type="dxa"/>
            <w:vMerge/>
            <w:tcBorders>
              <w:left w:val="single" w:sz="4" w:space="0" w:color="000000"/>
              <w:bottom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清洁能源</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kern w:val="0"/>
                <w:sz w:val="22"/>
              </w:rPr>
              <w:t>风力发电、光伏发电、水力发电、生物质发电、地热能供暖、空气能供暖、新能源汽车换电等</w:t>
            </w:r>
          </w:p>
        </w:tc>
      </w:tr>
      <w:tr w:rsidR="00B9739B">
        <w:trPr>
          <w:trHeight w:val="529"/>
        </w:trPr>
        <w:tc>
          <w:tcPr>
            <w:tcW w:w="1705" w:type="dxa"/>
            <w:vMerge w:val="restart"/>
            <w:tcBorders>
              <w:left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kern w:val="0"/>
                <w:sz w:val="22"/>
              </w:rPr>
            </w:pPr>
            <w:r>
              <w:rPr>
                <w:rFonts w:ascii="Times New Roman" w:hAnsi="Times New Roman" w:cs="Times New Roman"/>
                <w:kern w:val="0"/>
                <w:sz w:val="22"/>
              </w:rPr>
              <w:t>水资源产品</w:t>
            </w: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地下水资源</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sz w:val="22"/>
              </w:rPr>
              <w:t>矿泉水、纯净水等</w:t>
            </w:r>
          </w:p>
        </w:tc>
      </w:tr>
      <w:tr w:rsidR="00B9739B">
        <w:trPr>
          <w:trHeight w:val="548"/>
        </w:trPr>
        <w:tc>
          <w:tcPr>
            <w:tcW w:w="1705" w:type="dxa"/>
            <w:vMerge/>
            <w:tcBorders>
              <w:left w:val="single" w:sz="4" w:space="0" w:color="000000"/>
              <w:bottom w:val="single" w:sz="4" w:space="0" w:color="000000"/>
              <w:right w:val="single" w:sz="4" w:space="0" w:color="000000"/>
            </w:tcBorders>
            <w:vAlign w:val="center"/>
          </w:tcPr>
          <w:p w:rsidR="00B9739B" w:rsidRDefault="00B9739B">
            <w:pPr>
              <w:widowControl/>
              <w:jc w:val="center"/>
              <w:textAlignment w:val="center"/>
              <w:rPr>
                <w:rFonts w:ascii="Times New Roman" w:hAnsi="Times New Roman" w:cs="Times New Roman"/>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center"/>
              <w:textAlignment w:val="center"/>
              <w:rPr>
                <w:rFonts w:ascii="Times New Roman" w:hAnsi="Times New Roman" w:cs="Times New Roman"/>
                <w:sz w:val="22"/>
              </w:rPr>
            </w:pPr>
            <w:r>
              <w:rPr>
                <w:rFonts w:ascii="Times New Roman" w:hAnsi="Times New Roman" w:cs="Times New Roman"/>
                <w:kern w:val="0"/>
                <w:sz w:val="22"/>
              </w:rPr>
              <w:t>地表水资源</w:t>
            </w:r>
          </w:p>
        </w:tc>
        <w:tc>
          <w:tcPr>
            <w:tcW w:w="9978" w:type="dxa"/>
            <w:tcBorders>
              <w:top w:val="single" w:sz="4" w:space="0" w:color="000000"/>
              <w:left w:val="single" w:sz="4" w:space="0" w:color="000000"/>
              <w:bottom w:val="single" w:sz="4" w:space="0" w:color="000000"/>
              <w:right w:val="single" w:sz="4" w:space="0" w:color="000000"/>
            </w:tcBorders>
            <w:vAlign w:val="center"/>
          </w:tcPr>
          <w:p w:rsidR="00B9739B" w:rsidRDefault="00B24D01">
            <w:pPr>
              <w:widowControl/>
              <w:jc w:val="left"/>
              <w:textAlignment w:val="center"/>
              <w:rPr>
                <w:rFonts w:ascii="Times New Roman" w:hAnsi="Times New Roman" w:cs="Times New Roman"/>
                <w:sz w:val="22"/>
              </w:rPr>
            </w:pPr>
            <w:r>
              <w:rPr>
                <w:rFonts w:ascii="Times New Roman" w:hAnsi="Times New Roman" w:cs="Times New Roman"/>
                <w:sz w:val="22"/>
              </w:rPr>
              <w:t>冰雪观光、滑雪等</w:t>
            </w:r>
          </w:p>
        </w:tc>
      </w:tr>
    </w:tbl>
    <w:p w:rsidR="00B9739B" w:rsidRDefault="00B9739B">
      <w:pPr>
        <w:rPr>
          <w:rFonts w:ascii="Times New Roman" w:hAnsi="Times New Roman" w:cs="Times New Roman"/>
        </w:rPr>
      </w:pPr>
    </w:p>
    <w:sectPr w:rsidR="00B9739B" w:rsidSect="00B9739B">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E8" w:rsidRDefault="009E26E8" w:rsidP="00B9739B">
      <w:r>
        <w:separator/>
      </w:r>
    </w:p>
  </w:endnote>
  <w:endnote w:type="continuationSeparator" w:id="1">
    <w:p w:rsidR="009E26E8" w:rsidRDefault="009E26E8" w:rsidP="00B9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报宋">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9B" w:rsidRDefault="000A049F">
    <w:pPr>
      <w:pStyle w:val="a7"/>
    </w:pPr>
    <w:r>
      <w:pict>
        <v:rect id="文本框 1" o:spid="_x0000_s2050" style="position:absolute;margin-left:0;margin-top:0;width:2in;height:2in;z-index:251658240;mso-wrap-style:none;mso-position-horizontal:center;mso-position-horizontal-relative:margin" o:preferrelative="t" filled="f" stroked="f">
          <v:textbox style="mso-fit-shape-to-text:t" inset="0,0,0,0">
            <w:txbxContent>
              <w:p w:rsidR="00B9739B" w:rsidRDefault="000A049F">
                <w:pPr>
                  <w:pStyle w:val="a7"/>
                </w:pPr>
                <w:r>
                  <w:fldChar w:fldCharType="begin"/>
                </w:r>
                <w:r w:rsidR="00B24D01">
                  <w:instrText xml:space="preserve"> PAGE  \* MERGEFORMAT </w:instrText>
                </w:r>
                <w:r>
                  <w:fldChar w:fldCharType="separate"/>
                </w:r>
                <w:r w:rsidR="00BC2915">
                  <w:rPr>
                    <w:noProof/>
                  </w:rPr>
                  <w:t>2</w:t>
                </w:r>
                <w:r>
                  <w:fldChar w:fldCharType="end"/>
                </w:r>
              </w:p>
            </w:txbxContent>
          </v:textbox>
          <w10:wrap anchorx="margin"/>
        </v:rect>
      </w:pict>
    </w:r>
    <w:r w:rsidR="00B24D01">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9B" w:rsidRDefault="000A049F">
    <w:pPr>
      <w:pStyle w:val="a7"/>
    </w:pPr>
    <w:r>
      <w:pict>
        <v:rect id="文本框 2" o:spid="_x0000_s2049" style="position:absolute;margin-left:0;margin-top:0;width:2in;height:2in;z-index:251659264;mso-wrap-style:none;mso-position-horizontal:center;mso-position-horizontal-relative:margin" o:preferrelative="t" filled="f" stroked="f">
          <v:textbox style="mso-fit-shape-to-text:t" inset="0,0,0,0">
            <w:txbxContent>
              <w:p w:rsidR="00B9739B" w:rsidRDefault="000A049F">
                <w:pPr>
                  <w:pStyle w:val="a7"/>
                </w:pPr>
                <w:r>
                  <w:fldChar w:fldCharType="begin"/>
                </w:r>
                <w:r w:rsidR="00B24D01">
                  <w:instrText xml:space="preserve"> PAGE  \* MERGEFORMAT </w:instrText>
                </w:r>
                <w:r>
                  <w:fldChar w:fldCharType="separate"/>
                </w:r>
                <w:r w:rsidR="00BC2915">
                  <w:rPr>
                    <w:noProof/>
                  </w:rPr>
                  <w:t>92</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E8" w:rsidRDefault="009E26E8" w:rsidP="00B9739B">
      <w:r>
        <w:separator/>
      </w:r>
    </w:p>
  </w:footnote>
  <w:footnote w:type="continuationSeparator" w:id="1">
    <w:p w:rsidR="009E26E8" w:rsidRDefault="009E26E8" w:rsidP="00B97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39B"/>
    <w:rsid w:val="000A049F"/>
    <w:rsid w:val="008A4D01"/>
    <w:rsid w:val="009E26E8"/>
    <w:rsid w:val="00B24D01"/>
    <w:rsid w:val="00B9739B"/>
    <w:rsid w:val="00BC2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w:qFormat="1"/>
    <w:lsdException w:name="Body Text First Indent 2" w:qFormat="1"/>
    <w:lsdException w:name="Body Text 2" w:semiHidden="1" w:uiPriority="99" w:unhideWhenUsed="1"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B9739B"/>
    <w:pPr>
      <w:widowControl w:val="0"/>
      <w:jc w:val="both"/>
    </w:pPr>
    <w:rPr>
      <w:rFonts w:ascii="Calibri" w:hAnsi="Calibri" w:cs="黑体"/>
      <w:kern w:val="2"/>
      <w:sz w:val="21"/>
      <w:szCs w:val="22"/>
    </w:rPr>
  </w:style>
  <w:style w:type="paragraph" w:styleId="1">
    <w:name w:val="heading 1"/>
    <w:basedOn w:val="a"/>
    <w:next w:val="a"/>
    <w:link w:val="1Char"/>
    <w:qFormat/>
    <w:rsid w:val="00B9739B"/>
    <w:pPr>
      <w:spacing w:beforeAutospacing="1" w:afterAutospacing="1"/>
      <w:jc w:val="left"/>
      <w:outlineLvl w:val="0"/>
    </w:pPr>
    <w:rPr>
      <w:rFonts w:ascii="宋体" w:hAnsi="宋体" w:cs="宋体" w:hint="eastAsia"/>
      <w:b/>
      <w:kern w:val="44"/>
      <w:sz w:val="48"/>
      <w:szCs w:val="48"/>
    </w:rPr>
  </w:style>
  <w:style w:type="paragraph" w:styleId="2">
    <w:name w:val="heading 2"/>
    <w:basedOn w:val="a"/>
    <w:next w:val="a"/>
    <w:unhideWhenUsed/>
    <w:qFormat/>
    <w:rsid w:val="00B9739B"/>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B9739B"/>
    <w:pPr>
      <w:keepNext/>
      <w:keepLines/>
      <w:spacing w:before="260" w:after="260" w:line="413" w:lineRule="auto"/>
      <w:outlineLvl w:val="2"/>
    </w:pPr>
    <w:rPr>
      <w:b/>
      <w:sz w:val="32"/>
    </w:rPr>
  </w:style>
  <w:style w:type="paragraph" w:styleId="4">
    <w:name w:val="heading 4"/>
    <w:next w:val="a"/>
    <w:qFormat/>
    <w:rsid w:val="00B9739B"/>
    <w:pPr>
      <w:keepNext/>
      <w:keepLines/>
      <w:spacing w:line="372" w:lineRule="auto"/>
      <w:ind w:firstLine="419"/>
      <w:jc w:val="both"/>
      <w:outlineLvl w:val="3"/>
    </w:pPr>
    <w:rPr>
      <w:rFonts w:ascii="Arial" w:eastAsia="黑体" w:hAnsi="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qFormat/>
    <w:rsid w:val="00B9739B"/>
    <w:pPr>
      <w:widowControl w:val="0"/>
      <w:autoSpaceDE w:val="0"/>
      <w:autoSpaceDN w:val="0"/>
      <w:spacing w:line="500" w:lineRule="exact"/>
      <w:ind w:left="120" w:firstLine="420"/>
    </w:pPr>
    <w:rPr>
      <w:sz w:val="28"/>
      <w:lang w:val="zh-CN"/>
    </w:rPr>
  </w:style>
  <w:style w:type="paragraph" w:styleId="a4">
    <w:name w:val="annotation text"/>
    <w:basedOn w:val="a"/>
    <w:qFormat/>
    <w:rsid w:val="00B9739B"/>
    <w:pPr>
      <w:jc w:val="left"/>
    </w:pPr>
  </w:style>
  <w:style w:type="paragraph" w:styleId="a5">
    <w:name w:val="Body Text Indent"/>
    <w:basedOn w:val="a"/>
    <w:next w:val="30"/>
    <w:qFormat/>
    <w:rsid w:val="00B9739B"/>
    <w:pPr>
      <w:snapToGrid w:val="0"/>
      <w:spacing w:line="336" w:lineRule="auto"/>
      <w:ind w:firstLine="645"/>
    </w:pPr>
    <w:rPr>
      <w:rFonts w:ascii="仿宋_GB2312" w:eastAsia="仿宋_GB2312"/>
      <w:spacing w:val="-4"/>
      <w:sz w:val="32"/>
      <w:szCs w:val="20"/>
    </w:rPr>
  </w:style>
  <w:style w:type="paragraph" w:styleId="30">
    <w:name w:val="toc 3"/>
    <w:basedOn w:val="a"/>
    <w:next w:val="a"/>
    <w:qFormat/>
    <w:rsid w:val="00B9739B"/>
    <w:pPr>
      <w:ind w:leftChars="400" w:left="840"/>
    </w:pPr>
  </w:style>
  <w:style w:type="paragraph" w:styleId="a6">
    <w:name w:val="Plain Text"/>
    <w:basedOn w:val="a"/>
    <w:uiPriority w:val="99"/>
    <w:unhideWhenUsed/>
    <w:qFormat/>
    <w:rsid w:val="00B9739B"/>
    <w:pPr>
      <w:spacing w:line="360" w:lineRule="auto"/>
      <w:ind w:firstLineChars="200" w:firstLine="200"/>
    </w:pPr>
    <w:rPr>
      <w:rFonts w:ascii="宋体" w:eastAsia="仿宋_GB2312" w:hAnsi="Courier New" w:cs="Courier New"/>
      <w:sz w:val="32"/>
      <w:szCs w:val="32"/>
    </w:rPr>
  </w:style>
  <w:style w:type="paragraph" w:styleId="a7">
    <w:name w:val="footer"/>
    <w:basedOn w:val="a"/>
    <w:qFormat/>
    <w:rsid w:val="00B9739B"/>
    <w:pPr>
      <w:tabs>
        <w:tab w:val="center" w:pos="4153"/>
        <w:tab w:val="right" w:pos="8306"/>
      </w:tabs>
      <w:snapToGrid w:val="0"/>
      <w:jc w:val="left"/>
    </w:pPr>
    <w:rPr>
      <w:sz w:val="18"/>
      <w:szCs w:val="20"/>
    </w:rPr>
  </w:style>
  <w:style w:type="paragraph" w:styleId="20">
    <w:name w:val="Body Text First Indent 2"/>
    <w:basedOn w:val="a5"/>
    <w:qFormat/>
    <w:rsid w:val="00B9739B"/>
    <w:pPr>
      <w:snapToGrid/>
      <w:spacing w:after="120" w:line="240" w:lineRule="auto"/>
      <w:ind w:leftChars="200" w:left="420" w:firstLineChars="200" w:firstLine="420"/>
    </w:pPr>
    <w:rPr>
      <w:rFonts w:ascii="Times New Roman" w:eastAsia="宋体"/>
      <w:spacing w:val="0"/>
      <w:sz w:val="21"/>
      <w:szCs w:val="24"/>
    </w:rPr>
  </w:style>
  <w:style w:type="paragraph" w:styleId="a8">
    <w:name w:val="header"/>
    <w:basedOn w:val="a"/>
    <w:qFormat/>
    <w:rsid w:val="00B973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9739B"/>
  </w:style>
  <w:style w:type="paragraph" w:styleId="21">
    <w:name w:val="toc 2"/>
    <w:basedOn w:val="a"/>
    <w:next w:val="a"/>
    <w:qFormat/>
    <w:rsid w:val="00B9739B"/>
    <w:pPr>
      <w:ind w:leftChars="200" w:left="420"/>
    </w:pPr>
  </w:style>
  <w:style w:type="paragraph" w:styleId="22">
    <w:name w:val="Body Text 2"/>
    <w:basedOn w:val="a"/>
    <w:uiPriority w:val="99"/>
    <w:semiHidden/>
    <w:unhideWhenUsed/>
    <w:qFormat/>
    <w:rsid w:val="00B9739B"/>
    <w:pPr>
      <w:spacing w:line="360" w:lineRule="auto"/>
      <w:ind w:firstLineChars="200" w:firstLine="200"/>
    </w:pPr>
    <w:rPr>
      <w:rFonts w:ascii="仿宋_GB2312" w:hAnsi="宋体"/>
      <w:color w:val="FF0000"/>
      <w:sz w:val="28"/>
      <w:szCs w:val="28"/>
    </w:rPr>
  </w:style>
  <w:style w:type="paragraph" w:styleId="a9">
    <w:name w:val="Normal (Web)"/>
    <w:basedOn w:val="a"/>
    <w:qFormat/>
    <w:rsid w:val="00B9739B"/>
    <w:pPr>
      <w:spacing w:beforeAutospacing="1" w:afterAutospacing="1"/>
      <w:jc w:val="left"/>
    </w:pPr>
    <w:rPr>
      <w:kern w:val="0"/>
      <w:sz w:val="24"/>
    </w:rPr>
  </w:style>
  <w:style w:type="character" w:styleId="aa">
    <w:name w:val="Strong"/>
    <w:basedOn w:val="a0"/>
    <w:qFormat/>
    <w:rsid w:val="00B9739B"/>
    <w:rPr>
      <w:b/>
    </w:rPr>
  </w:style>
  <w:style w:type="character" w:styleId="ab">
    <w:name w:val="Hyperlink"/>
    <w:uiPriority w:val="99"/>
    <w:unhideWhenUsed/>
    <w:qFormat/>
    <w:rsid w:val="00B9739B"/>
    <w:rPr>
      <w:color w:val="0000FF"/>
      <w:u w:val="single"/>
    </w:rPr>
  </w:style>
  <w:style w:type="paragraph" w:customStyle="1" w:styleId="-1">
    <w:name w:val="正文-公1"/>
    <w:basedOn w:val="NewNewNew"/>
    <w:next w:val="a"/>
    <w:qFormat/>
    <w:rsid w:val="00B9739B"/>
    <w:pPr>
      <w:ind w:firstLineChars="200" w:firstLine="200"/>
    </w:pPr>
  </w:style>
  <w:style w:type="paragraph" w:customStyle="1" w:styleId="NewNewNew">
    <w:name w:val="正文 New New New"/>
    <w:next w:val="-1"/>
    <w:qFormat/>
    <w:rsid w:val="00B9739B"/>
    <w:pPr>
      <w:widowControl w:val="0"/>
      <w:jc w:val="both"/>
    </w:pPr>
    <w:rPr>
      <w:kern w:val="2"/>
      <w:sz w:val="21"/>
      <w:szCs w:val="24"/>
    </w:rPr>
  </w:style>
  <w:style w:type="paragraph" w:customStyle="1" w:styleId="UserStyle0">
    <w:name w:val="UserStyle_0"/>
    <w:basedOn w:val="a"/>
    <w:qFormat/>
    <w:rsid w:val="00B9739B"/>
    <w:pPr>
      <w:ind w:firstLineChars="200" w:firstLine="420"/>
    </w:pPr>
    <w:rPr>
      <w:rFonts w:cs="Times New Roman"/>
    </w:rPr>
  </w:style>
  <w:style w:type="paragraph" w:customStyle="1" w:styleId="BodyTextIndent2">
    <w:name w:val="BodyTextIndent2"/>
    <w:basedOn w:val="a"/>
    <w:qFormat/>
    <w:rsid w:val="00B9739B"/>
    <w:pPr>
      <w:spacing w:line="480" w:lineRule="auto"/>
      <w:ind w:leftChars="200" w:left="420"/>
      <w:textAlignment w:val="baseline"/>
    </w:pPr>
    <w:rPr>
      <w:rFonts w:ascii="Times New Roman" w:hAnsi="Times New Roman"/>
      <w:szCs w:val="24"/>
    </w:rPr>
  </w:style>
  <w:style w:type="paragraph" w:customStyle="1" w:styleId="11">
    <w:name w:val="列出段落1"/>
    <w:basedOn w:val="a"/>
    <w:qFormat/>
    <w:rsid w:val="00B9739B"/>
    <w:pPr>
      <w:spacing w:line="500" w:lineRule="exact"/>
      <w:ind w:firstLine="420"/>
    </w:pPr>
    <w:rPr>
      <w:rFonts w:ascii="微软雅黑" w:eastAsia="微软雅黑" w:hAnsi="微软雅黑"/>
      <w:sz w:val="24"/>
    </w:rPr>
  </w:style>
  <w:style w:type="character" w:customStyle="1" w:styleId="NormalCharacter">
    <w:name w:val="NormalCharacter"/>
    <w:semiHidden/>
    <w:qFormat/>
    <w:rsid w:val="00B9739B"/>
    <w:rPr>
      <w:rFonts w:ascii="Calibri" w:eastAsia="宋体" w:hAnsi="Calibri" w:cs="黑体"/>
      <w:kern w:val="2"/>
      <w:sz w:val="21"/>
      <w:szCs w:val="22"/>
      <w:lang w:val="en-US" w:eastAsia="zh-CN" w:bidi="ar-SA"/>
    </w:rPr>
  </w:style>
  <w:style w:type="character" w:customStyle="1" w:styleId="1Char">
    <w:name w:val="标题 1 Char"/>
    <w:link w:val="1"/>
    <w:rsid w:val="00B9739B"/>
    <w:rPr>
      <w:rFonts w:ascii="宋体" w:eastAsia="宋体" w:hAnsi="宋体" w:cs="宋体" w:hint="eastAsia"/>
      <w:b/>
      <w:kern w:val="44"/>
      <w:sz w:val="48"/>
      <w:szCs w:val="48"/>
      <w:lang w:val="en-U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7796</Words>
  <Characters>44440</Characters>
  <Application>Microsoft Office Word</Application>
  <DocSecurity>0</DocSecurity>
  <Lines>370</Lines>
  <Paragraphs>104</Paragraphs>
  <ScaleCrop>false</ScaleCrop>
  <Company/>
  <LinksUpToDate>false</LinksUpToDate>
  <CharactersWithSpaces>52132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抚松县生态产业发展规划</dc:title>
  <dc:creator>大宇</dc:creator>
  <cp:lastModifiedBy>My-PC</cp:lastModifiedBy>
  <cp:revision>4</cp:revision>
  <dcterms:created xsi:type="dcterms:W3CDTF">2023-08-15T05:59:00Z</dcterms:created>
  <dcterms:modified xsi:type="dcterms:W3CDTF">2024-05-28T04:30:00Z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5107267296D3450CBF843C36A11A4487_13</vt:lpwstr>
  </property>
</Properties>
</file>